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259E" w14:textId="16CF95C8" w:rsidR="00217C96" w:rsidRDefault="00217C96">
      <w:r>
        <w:rPr>
          <w:noProof/>
        </w:rPr>
        <w:drawing>
          <wp:anchor distT="0" distB="0" distL="114300" distR="114300" simplePos="0" relativeHeight="251659264" behindDoc="0" locked="0" layoutInCell="1" allowOverlap="1" wp14:anchorId="7BFB9F9B" wp14:editId="6760F36A">
            <wp:simplePos x="0" y="0"/>
            <wp:positionH relativeFrom="column">
              <wp:posOffset>-941295</wp:posOffset>
            </wp:positionH>
            <wp:positionV relativeFrom="paragraph">
              <wp:posOffset>-941294</wp:posOffset>
            </wp:positionV>
            <wp:extent cx="8063049" cy="1470212"/>
            <wp:effectExtent l="0" t="0" r="1905" b="3175"/>
            <wp:wrapNone/>
            <wp:docPr id="1667588334" name="Picture 1" descr="A red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88334" name="Picture 1" descr="A red line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065720" cy="1470699"/>
                    </a:xfrm>
                    <a:prstGeom prst="rect">
                      <a:avLst/>
                    </a:prstGeom>
                  </pic:spPr>
                </pic:pic>
              </a:graphicData>
            </a:graphic>
            <wp14:sizeRelH relativeFrom="page">
              <wp14:pctWidth>0</wp14:pctWidth>
            </wp14:sizeRelH>
            <wp14:sizeRelV relativeFrom="page">
              <wp14:pctHeight>0</wp14:pctHeight>
            </wp14:sizeRelV>
          </wp:anchor>
        </w:drawing>
      </w:r>
    </w:p>
    <w:p w14:paraId="0DACC427" w14:textId="77777777" w:rsidR="00217C96" w:rsidRDefault="00217C96"/>
    <w:p w14:paraId="377927A1" w14:textId="77777777" w:rsidR="00217C96" w:rsidRDefault="00217C96"/>
    <w:p w14:paraId="755EAF06" w14:textId="35E01E40" w:rsidR="00217BFD" w:rsidRDefault="003F3185">
      <w:r>
        <w:t>August 11, 2025</w:t>
      </w:r>
    </w:p>
    <w:p w14:paraId="34DE89FF" w14:textId="77777777" w:rsidR="00217BFD" w:rsidRDefault="00217BFD"/>
    <w:p w14:paraId="2B34B47A" w14:textId="37358C92" w:rsidR="00217BFD" w:rsidRDefault="00217BFD">
      <w:r w:rsidRPr="00AF5089">
        <w:t>Mehmet Oz, MD, MBA</w:t>
      </w:r>
      <w:r w:rsidR="00217C96">
        <w:t xml:space="preserve">; </w:t>
      </w:r>
      <w:r>
        <w:t>Administrator</w:t>
      </w:r>
    </w:p>
    <w:p w14:paraId="17622C84" w14:textId="77777777" w:rsidR="00217BFD" w:rsidRDefault="00217BFD">
      <w:r w:rsidRPr="00217BFD">
        <w:t>Centers for Medicare &amp; Medicaid Service</w:t>
      </w:r>
    </w:p>
    <w:p w14:paraId="1CFD32D8" w14:textId="77777777" w:rsidR="00217BFD" w:rsidRDefault="00217BFD">
      <w:r w:rsidRPr="00217BFD">
        <w:t>Department of Health and Human Services</w:t>
      </w:r>
    </w:p>
    <w:p w14:paraId="13E51246" w14:textId="4F8F49D5" w:rsidR="00217BFD" w:rsidRDefault="00217BFD">
      <w:r w:rsidRPr="00217BFD">
        <w:t>P.O. Box 8010</w:t>
      </w:r>
      <w:r w:rsidR="00217C96">
        <w:t xml:space="preserve"> </w:t>
      </w:r>
      <w:r w:rsidRPr="00217BFD">
        <w:t>Baltimore, MD 21244–8010</w:t>
      </w:r>
    </w:p>
    <w:p w14:paraId="512BB52F" w14:textId="691954AC" w:rsidR="00217BFD" w:rsidRPr="000075CA" w:rsidRDefault="00217BFD" w:rsidP="00217BFD">
      <w:pPr>
        <w:rPr>
          <w:b/>
          <w:bCs w:val="0"/>
        </w:rPr>
      </w:pPr>
      <w:r w:rsidRPr="000075CA">
        <w:rPr>
          <w:b/>
          <w:bCs w:val="0"/>
        </w:rPr>
        <w:t>Attention:</w:t>
      </w:r>
      <w:r w:rsidR="00A86A09">
        <w:rPr>
          <w:b/>
          <w:bCs w:val="0"/>
        </w:rPr>
        <w:t xml:space="preserve"> </w:t>
      </w:r>
      <w:r w:rsidRPr="000075CA">
        <w:rPr>
          <w:b/>
          <w:bCs w:val="0"/>
        </w:rPr>
        <w:t xml:space="preserve"> CMS–1830–P</w:t>
      </w:r>
    </w:p>
    <w:p w14:paraId="25BCA5A7" w14:textId="77777777" w:rsidR="00217BFD" w:rsidRDefault="00217BFD"/>
    <w:p w14:paraId="70EEAB45" w14:textId="7EF5E420" w:rsidR="00217BFD" w:rsidRDefault="00217BFD">
      <w:r>
        <w:t xml:space="preserve">Dear </w:t>
      </w:r>
      <w:r w:rsidR="000075CA">
        <w:t xml:space="preserve">Dr. </w:t>
      </w:r>
      <w:r>
        <w:t>Oz:</w:t>
      </w:r>
    </w:p>
    <w:p w14:paraId="4F3D540E" w14:textId="77777777" w:rsidR="00217BFD" w:rsidRPr="001A1E7B" w:rsidRDefault="00217BFD">
      <w:pPr>
        <w:rPr>
          <w:sz w:val="16"/>
          <w:szCs w:val="16"/>
        </w:rPr>
      </w:pPr>
    </w:p>
    <w:p w14:paraId="523F2D90" w14:textId="797A7139" w:rsidR="00217BFD" w:rsidRDefault="00217BFD" w:rsidP="00217C96">
      <w:pPr>
        <w:ind w:right="-180"/>
      </w:pPr>
      <w:r>
        <w:t xml:space="preserve">The non-profit Medical Education Institute (MEI) is pleased to have the opportunity to comment on the proposed rule for the </w:t>
      </w:r>
      <w:r w:rsidRPr="00217BFD">
        <w:t xml:space="preserve">End-Stage Renal Disease </w:t>
      </w:r>
      <w:r w:rsidR="00465D70">
        <w:t xml:space="preserve">(ESRD) </w:t>
      </w:r>
      <w:r w:rsidRPr="00217BFD">
        <w:t xml:space="preserve">Prospective Payment System, Payment for Renal Dialysis Services Furnished to Individuals </w:t>
      </w:r>
      <w:r w:rsidR="00B13641">
        <w:t>w</w:t>
      </w:r>
      <w:r w:rsidRPr="00217BFD">
        <w:t>ith Acute Kidney Injury, End-Stage Renal Disease Quality Incentive Program, and End-Stage Renal Disease Treatment Choices Model</w:t>
      </w:r>
      <w:r w:rsidR="00A86A09">
        <w:t xml:space="preserve">, </w:t>
      </w:r>
      <w:r w:rsidR="00A86A09">
        <w:rPr>
          <w:color w:val="000000"/>
        </w:rPr>
        <w:t>Docket Number CMS–2025–0240–0002</w:t>
      </w:r>
      <w:r>
        <w:t xml:space="preserve">. </w:t>
      </w:r>
    </w:p>
    <w:p w14:paraId="72232D1F" w14:textId="77777777" w:rsidR="001A1E7B" w:rsidRPr="001A1E7B" w:rsidRDefault="001A1E7B" w:rsidP="001A1E7B">
      <w:pPr>
        <w:rPr>
          <w:sz w:val="16"/>
          <w:szCs w:val="16"/>
        </w:rPr>
      </w:pPr>
    </w:p>
    <w:p w14:paraId="4E45C61B" w14:textId="56DDF9C0" w:rsidR="00C27BDB" w:rsidRDefault="00217C96" w:rsidP="00C27BDB">
      <w:r>
        <w:t xml:space="preserve">MEI’s mission is to </w:t>
      </w:r>
      <w:r>
        <w:rPr>
          <w:i/>
          <w:iCs/>
        </w:rPr>
        <w:t>e</w:t>
      </w:r>
      <w:r w:rsidR="00217BFD" w:rsidRPr="008F485F">
        <w:rPr>
          <w:i/>
          <w:iCs/>
        </w:rPr>
        <w:t>mpower people with chronic disease to manage and improve their health</w:t>
      </w:r>
      <w:r w:rsidR="00217BFD">
        <w:t xml:space="preserve">. </w:t>
      </w:r>
      <w:r w:rsidR="0050568A">
        <w:t>To fulfill this mission</w:t>
      </w:r>
      <w:r w:rsidR="00217BFD">
        <w:t>, MEI develop</w:t>
      </w:r>
      <w:r>
        <w:t>s</w:t>
      </w:r>
      <w:r w:rsidR="00217BFD">
        <w:t xml:space="preserve"> </w:t>
      </w:r>
      <w:r>
        <w:t xml:space="preserve">free or low-cost </w:t>
      </w:r>
      <w:r w:rsidR="0050568A">
        <w:t xml:space="preserve">evidence-based </w:t>
      </w:r>
      <w:r w:rsidR="008F485F">
        <w:t xml:space="preserve">patient </w:t>
      </w:r>
      <w:r w:rsidR="00217BFD">
        <w:t xml:space="preserve">education </w:t>
      </w:r>
      <w:r w:rsidR="00AA6D8C">
        <w:t xml:space="preserve">in </w:t>
      </w:r>
      <w:r w:rsidR="008F485F">
        <w:t>a variety of</w:t>
      </w:r>
      <w:r w:rsidR="00AA6D8C">
        <w:t xml:space="preserve"> formats</w:t>
      </w:r>
      <w:r w:rsidR="008F485F">
        <w:t xml:space="preserve">, </w:t>
      </w:r>
      <w:r w:rsidR="00465D70">
        <w:t>grounded in motivational theory</w:t>
      </w:r>
      <w:r>
        <w:t xml:space="preserve">, and </w:t>
      </w:r>
      <w:r w:rsidR="0050568A">
        <w:t xml:space="preserve">written at </w:t>
      </w:r>
      <w:r w:rsidR="008F485F">
        <w:t>a</w:t>
      </w:r>
      <w:r w:rsidR="0050568A">
        <w:t xml:space="preserve"> 5</w:t>
      </w:r>
      <w:r w:rsidR="0050568A" w:rsidRPr="0050568A">
        <w:rPr>
          <w:vertAlign w:val="superscript"/>
        </w:rPr>
        <w:t>th</w:t>
      </w:r>
      <w:r w:rsidR="0050568A">
        <w:t>-6</w:t>
      </w:r>
      <w:r w:rsidR="0050568A" w:rsidRPr="0050568A">
        <w:rPr>
          <w:vertAlign w:val="superscript"/>
        </w:rPr>
        <w:t>th</w:t>
      </w:r>
      <w:r w:rsidR="0050568A">
        <w:t xml:space="preserve"> grade level</w:t>
      </w:r>
      <w:r>
        <w:t>.</w:t>
      </w:r>
    </w:p>
    <w:p w14:paraId="3BABAD12" w14:textId="77777777" w:rsidR="00AD5C44" w:rsidRDefault="00AD5C44" w:rsidP="00C27BDB"/>
    <w:p w14:paraId="6A8006BC" w14:textId="165985B9" w:rsidR="00AD5C44" w:rsidRDefault="00AD5C44" w:rsidP="00AD5C44">
      <w:pPr>
        <w:ind w:right="-450"/>
      </w:pPr>
      <w:r>
        <w:t xml:space="preserve">The ESRD Treatment Choices Model did not achieve the Advancing American Kidney Health </w:t>
      </w:r>
      <w:r w:rsidRPr="00F809B9">
        <w:rPr>
          <w:b/>
          <w:bCs w:val="0"/>
        </w:rPr>
        <w:t xml:space="preserve">goal </w:t>
      </w:r>
      <w:r>
        <w:rPr>
          <w:b/>
          <w:bCs w:val="0"/>
        </w:rPr>
        <w:t xml:space="preserve">    </w:t>
      </w:r>
      <w:r w:rsidRPr="00F809B9">
        <w:rPr>
          <w:b/>
          <w:bCs w:val="0"/>
        </w:rPr>
        <w:t>to</w:t>
      </w:r>
      <w:r>
        <w:t xml:space="preserve"> </w:t>
      </w:r>
      <w:r w:rsidRPr="00CA0944">
        <w:rPr>
          <w:b/>
          <w:bCs w:val="0"/>
        </w:rPr>
        <w:t>increas</w:t>
      </w:r>
      <w:r>
        <w:rPr>
          <w:b/>
          <w:bCs w:val="0"/>
        </w:rPr>
        <w:t>e</w:t>
      </w:r>
      <w:r w:rsidRPr="00CA0944">
        <w:rPr>
          <w:b/>
          <w:bCs w:val="0"/>
        </w:rPr>
        <w:t xml:space="preserve"> patient access to home dialysis and transplantation</w:t>
      </w:r>
      <w:r>
        <w:t xml:space="preserve">.  MEI is submitting this comment   to recommend how these goals </w:t>
      </w:r>
      <w:r w:rsidRPr="008F485F">
        <w:rPr>
          <w:i/>
          <w:iCs/>
        </w:rPr>
        <w:t>could</w:t>
      </w:r>
      <w:r>
        <w:t xml:space="preserve"> be achieved.</w:t>
      </w:r>
    </w:p>
    <w:p w14:paraId="373ED404" w14:textId="77777777" w:rsidR="001A1E7B" w:rsidRPr="001A1E7B" w:rsidRDefault="001A1E7B" w:rsidP="001A1E7B">
      <w:pPr>
        <w:rPr>
          <w:sz w:val="16"/>
          <w:szCs w:val="16"/>
        </w:rPr>
      </w:pPr>
    </w:p>
    <w:p w14:paraId="4950D982" w14:textId="17C586ED" w:rsidR="00F809B9" w:rsidRPr="00C27BDB" w:rsidRDefault="00F809B9" w:rsidP="00F809B9">
      <w:pPr>
        <w:rPr>
          <w:b/>
          <w:bCs w:val="0"/>
        </w:rPr>
      </w:pPr>
      <w:r w:rsidRPr="00C27BDB">
        <w:rPr>
          <w:b/>
          <w:bCs w:val="0"/>
        </w:rPr>
        <w:t xml:space="preserve">Recommendation: </w:t>
      </w:r>
      <w:r w:rsidR="008F485F">
        <w:rPr>
          <w:b/>
          <w:bCs w:val="0"/>
        </w:rPr>
        <w:t xml:space="preserve"> </w:t>
      </w:r>
      <w:r>
        <w:rPr>
          <w:b/>
          <w:bCs w:val="0"/>
        </w:rPr>
        <w:t>CMS should e</w:t>
      </w:r>
      <w:r w:rsidRPr="00C27BDB">
        <w:rPr>
          <w:b/>
          <w:bCs w:val="0"/>
        </w:rPr>
        <w:t>stablish a</w:t>
      </w:r>
      <w:r w:rsidR="00321F39">
        <w:rPr>
          <w:b/>
          <w:bCs w:val="0"/>
        </w:rPr>
        <w:t xml:space="preserve"> Clinical</w:t>
      </w:r>
      <w:r w:rsidR="00465D70">
        <w:rPr>
          <w:b/>
          <w:bCs w:val="0"/>
        </w:rPr>
        <w:t xml:space="preserve"> Outcomes </w:t>
      </w:r>
      <w:r w:rsidRPr="00C27BDB">
        <w:rPr>
          <w:b/>
          <w:bCs w:val="0"/>
        </w:rPr>
        <w:t xml:space="preserve">Measure for Patient Choice of </w:t>
      </w:r>
      <w:r w:rsidR="00465D70">
        <w:rPr>
          <w:b/>
          <w:bCs w:val="0"/>
        </w:rPr>
        <w:t xml:space="preserve">ESRD </w:t>
      </w:r>
      <w:r w:rsidRPr="00C27BDB">
        <w:rPr>
          <w:b/>
          <w:bCs w:val="0"/>
        </w:rPr>
        <w:t>Treatment</w:t>
      </w:r>
    </w:p>
    <w:p w14:paraId="35BD470D" w14:textId="222448A2" w:rsidR="009930B6" w:rsidRDefault="007F018C" w:rsidP="00C27BDB">
      <w:r w:rsidRPr="008F485F">
        <w:rPr>
          <w:i/>
          <w:iCs/>
        </w:rPr>
        <w:t>Active</w:t>
      </w:r>
      <w:r w:rsidR="008F485F">
        <w:t xml:space="preserve">, </w:t>
      </w:r>
      <w:r w:rsidR="008F485F" w:rsidRPr="008F485F">
        <w:rPr>
          <w:i/>
          <w:iCs/>
        </w:rPr>
        <w:t>informed</w:t>
      </w:r>
      <w:r w:rsidRPr="008F485F">
        <w:rPr>
          <w:i/>
          <w:iCs/>
        </w:rPr>
        <w:t xml:space="preserve"> patient participation </w:t>
      </w:r>
      <w:r>
        <w:t xml:space="preserve">in their choice of treatment </w:t>
      </w:r>
      <w:r w:rsidR="008F485F">
        <w:t>needs to</w:t>
      </w:r>
      <w:r>
        <w:t xml:space="preserve"> be encouraged. </w:t>
      </w:r>
      <w:r w:rsidR="009930B6">
        <w:t>A Cochrane review</w:t>
      </w:r>
      <w:r w:rsidR="004C1BF3">
        <w:t xml:space="preserve"> of 209 studies of 107,698 patients</w:t>
      </w:r>
      <w:r w:rsidR="009930B6">
        <w:t xml:space="preserve"> found that </w:t>
      </w:r>
      <w:r w:rsidR="004C1BF3">
        <w:t xml:space="preserve">use of a </w:t>
      </w:r>
      <w:r w:rsidR="009930B6">
        <w:t>decision-aid</w:t>
      </w:r>
      <w:r w:rsidR="004C1BF3">
        <w:t xml:space="preserve"> extended communications </w:t>
      </w:r>
      <w:r w:rsidR="004C1BF3" w:rsidRPr="008F485F">
        <w:rPr>
          <w:b/>
          <w:bCs w:val="0"/>
        </w:rPr>
        <w:t xml:space="preserve">by </w:t>
      </w:r>
      <w:r w:rsidR="008F485F" w:rsidRPr="008F485F">
        <w:rPr>
          <w:b/>
          <w:bCs w:val="0"/>
        </w:rPr>
        <w:t>just</w:t>
      </w:r>
      <w:r w:rsidR="004C1BF3" w:rsidRPr="008F485F">
        <w:rPr>
          <w:b/>
          <w:bCs w:val="0"/>
        </w:rPr>
        <w:t xml:space="preserve"> 1.5 minutes</w:t>
      </w:r>
      <w:r w:rsidR="008F485F">
        <w:t>—</w:t>
      </w:r>
      <w:r w:rsidR="004B1F28">
        <w:t>and had these benefits</w:t>
      </w:r>
      <w:r w:rsidR="008F485F">
        <w:t xml:space="preserve"> vs. usual care (assessing risk, providing general information, and using professional guidelines)</w:t>
      </w:r>
      <w:r w:rsidR="004C1BF3">
        <w:t>:</w:t>
      </w:r>
      <w:r w:rsidR="008F485F" w:rsidRPr="008F485F">
        <w:rPr>
          <w:rStyle w:val="EndnoteReference"/>
        </w:rPr>
        <w:t xml:space="preserve"> </w:t>
      </w:r>
      <w:r w:rsidR="008F485F">
        <w:rPr>
          <w:rStyle w:val="EndnoteReference"/>
        </w:rPr>
        <w:endnoteReference w:id="1"/>
      </w:r>
      <w:r w:rsidR="009930B6">
        <w:t xml:space="preserve"> </w:t>
      </w:r>
    </w:p>
    <w:p w14:paraId="27BAEFF2" w14:textId="24869AF9" w:rsidR="009930B6" w:rsidRDefault="009930B6" w:rsidP="00217C96">
      <w:pPr>
        <w:pStyle w:val="ListParagraph"/>
        <w:numPr>
          <w:ilvl w:val="0"/>
          <w:numId w:val="15"/>
        </w:numPr>
        <w:ind w:left="360"/>
      </w:pPr>
      <w:r>
        <w:t>Increas</w:t>
      </w:r>
      <w:r w:rsidR="004C1BF3">
        <w:t>ing</w:t>
      </w:r>
      <w:r>
        <w:t xml:space="preserve"> patient involvement in decision-making</w:t>
      </w:r>
    </w:p>
    <w:p w14:paraId="716ED8BA" w14:textId="610E2B5E" w:rsidR="004C1BF3" w:rsidRDefault="004C1BF3" w:rsidP="00217C96">
      <w:pPr>
        <w:pStyle w:val="ListParagraph"/>
        <w:numPr>
          <w:ilvl w:val="0"/>
          <w:numId w:val="15"/>
        </w:numPr>
        <w:ind w:left="360"/>
      </w:pPr>
      <w:r>
        <w:t>Improving patient knowledge of benefits and risks</w:t>
      </w:r>
      <w:r w:rsidR="008F485F">
        <w:t xml:space="preserve"> of each treatment option </w:t>
      </w:r>
    </w:p>
    <w:p w14:paraId="1A7BED20" w14:textId="3C4AF0DE" w:rsidR="00217BFD" w:rsidRDefault="004C1BF3" w:rsidP="00217C96">
      <w:pPr>
        <w:pStyle w:val="ListParagraph"/>
        <w:numPr>
          <w:ilvl w:val="0"/>
          <w:numId w:val="15"/>
        </w:numPr>
        <w:ind w:left="360"/>
      </w:pPr>
      <w:r>
        <w:t xml:space="preserve">Helping </w:t>
      </w:r>
      <w:r w:rsidR="009930B6">
        <w:t>patients make decision</w:t>
      </w:r>
      <w:r>
        <w:t xml:space="preserve">s </w:t>
      </w:r>
      <w:r w:rsidRPr="008F485F">
        <w:rPr>
          <w:i/>
          <w:iCs/>
        </w:rPr>
        <w:t>based on what is important to them</w:t>
      </w:r>
    </w:p>
    <w:p w14:paraId="00587353" w14:textId="77777777" w:rsidR="001A1E7B" w:rsidRPr="001A1E7B" w:rsidRDefault="001A1E7B" w:rsidP="001A1E7B">
      <w:pPr>
        <w:pStyle w:val="ListParagraph"/>
        <w:ind w:left="466"/>
        <w:rPr>
          <w:sz w:val="16"/>
          <w:szCs w:val="16"/>
        </w:rPr>
      </w:pPr>
    </w:p>
    <w:p w14:paraId="568146DC" w14:textId="37171727" w:rsidR="00C27BDB" w:rsidRDefault="00465D70" w:rsidP="00C27BDB">
      <w:r>
        <w:t xml:space="preserve">Due to Medical Education Institute </w:t>
      </w:r>
      <w:r w:rsidR="00807E0C">
        <w:t>a</w:t>
      </w:r>
      <w:r>
        <w:t>dvocacy in 2007, t</w:t>
      </w:r>
      <w:r w:rsidR="00C27BDB">
        <w:t xml:space="preserve">he </w:t>
      </w:r>
      <w:r>
        <w:t xml:space="preserve">2008 </w:t>
      </w:r>
      <w:r w:rsidR="00C27BDB" w:rsidRPr="008F485F">
        <w:rPr>
          <w:i/>
          <w:iCs/>
        </w:rPr>
        <w:t>ESRD Conditions for Coverage</w:t>
      </w:r>
      <w:r w:rsidR="00C27BDB">
        <w:t xml:space="preserve"> states under the Condition for Patients’ rights at §494.70(a): </w:t>
      </w:r>
      <w:r w:rsidR="00C27BDB">
        <w:rPr>
          <w:i/>
          <w:iCs/>
        </w:rPr>
        <w:t>T</w:t>
      </w:r>
      <w:r w:rsidR="00C27BDB" w:rsidRPr="00EC768B">
        <w:rPr>
          <w:i/>
          <w:iCs/>
        </w:rPr>
        <w:t>he patient has the right to:</w:t>
      </w:r>
    </w:p>
    <w:p w14:paraId="38885B2F" w14:textId="77777777" w:rsidR="00C27BDB" w:rsidRDefault="00C27BDB" w:rsidP="00217C96">
      <w:pPr>
        <w:ind w:left="360" w:right="360"/>
      </w:pPr>
      <w:r w:rsidRPr="0099387F">
        <w:rPr>
          <w:i/>
          <w:iCs/>
        </w:rPr>
        <w:t xml:space="preserve">(7) </w:t>
      </w:r>
      <w:r w:rsidRPr="00465D70">
        <w:rPr>
          <w:b/>
          <w:bCs w:val="0"/>
          <w:i/>
          <w:iCs/>
        </w:rPr>
        <w:t>Be informed about all treatment modalities and settings, including but not limited to, transplantation, home dialysis modalities (home hemodialysis, intermittent peritoneal dialysis, continuous ambulatory peritoneal dialysis, continuous cycling peritoneal dialysis), and in-facility hemodialysis. The patient has the right to receive resource information for dialysis modalities not offered by the facility, including information about alternative scheduling options for working patients</w:t>
      </w:r>
      <w:r w:rsidRPr="00465D70">
        <w:rPr>
          <w:i/>
          <w:iCs/>
        </w:rPr>
        <w:t>.</w:t>
      </w:r>
      <w:r>
        <w:rPr>
          <w:rStyle w:val="EndnoteReference"/>
          <w:i/>
          <w:iCs/>
        </w:rPr>
        <w:endnoteReference w:id="2"/>
      </w:r>
      <w:r>
        <w:t xml:space="preserve">  </w:t>
      </w:r>
    </w:p>
    <w:p w14:paraId="5A09F7F6" w14:textId="49133918" w:rsidR="00C27BDB" w:rsidRDefault="00F809B9" w:rsidP="00C27BDB">
      <w:r>
        <w:lastRenderedPageBreak/>
        <w:t xml:space="preserve">The </w:t>
      </w:r>
      <w:r w:rsidR="00465D70">
        <w:t xml:space="preserve">2019 </w:t>
      </w:r>
      <w:r w:rsidR="00C27BDB" w:rsidRPr="00F9015B">
        <w:rPr>
          <w:i/>
          <w:iCs/>
        </w:rPr>
        <w:t>Advancing American Kidney Health</w:t>
      </w:r>
      <w:r w:rsidR="00C27BDB">
        <w:t xml:space="preserve"> Executive Order</w:t>
      </w:r>
      <w:r w:rsidR="00C27BDB">
        <w:rPr>
          <w:rStyle w:val="EndnoteReference"/>
          <w:i/>
          <w:iCs/>
        </w:rPr>
        <w:endnoteReference w:id="3"/>
      </w:r>
      <w:r w:rsidR="00C27BDB">
        <w:t xml:space="preserve"> set a goal to:</w:t>
      </w:r>
    </w:p>
    <w:p w14:paraId="4B7A7C9F" w14:textId="77777777" w:rsidR="00C27BDB" w:rsidRPr="00EC768B" w:rsidRDefault="00C27BDB" w:rsidP="00C27BDB">
      <w:pPr>
        <w:ind w:left="360" w:hanging="360"/>
        <w:rPr>
          <w:i/>
          <w:iCs/>
        </w:rPr>
      </w:pPr>
      <w:r w:rsidRPr="00EC768B">
        <w:rPr>
          <w:i/>
          <w:iCs/>
        </w:rPr>
        <w:t xml:space="preserve">(a)  prevent kidney failure whenever possible through better diagnosis, treatment, and incentives for preventive </w:t>
      </w:r>
      <w:proofErr w:type="gramStart"/>
      <w:r w:rsidRPr="00EC768B">
        <w:rPr>
          <w:i/>
          <w:iCs/>
        </w:rPr>
        <w:t>care;</w:t>
      </w:r>
      <w:proofErr w:type="gramEnd"/>
    </w:p>
    <w:p w14:paraId="350BBAF3" w14:textId="77777777" w:rsidR="00C27BDB" w:rsidRPr="00EC768B" w:rsidRDefault="00C27BDB" w:rsidP="00C27BDB">
      <w:pPr>
        <w:ind w:left="360" w:hanging="360"/>
        <w:rPr>
          <w:i/>
          <w:iCs/>
        </w:rPr>
      </w:pPr>
      <w:r w:rsidRPr="00EC768B">
        <w:rPr>
          <w:i/>
          <w:iCs/>
        </w:rPr>
        <w:t>(b)  increase patient choice through affordable alternative treatments for ESRD by encouraging higher value care, educating patients on treatment alternatives, and encouraging the development of artificial kidneys; and</w:t>
      </w:r>
    </w:p>
    <w:p w14:paraId="1E0FD84B" w14:textId="77777777" w:rsidR="00C27BDB" w:rsidRPr="00EC768B" w:rsidRDefault="00C27BDB" w:rsidP="00C27BDB">
      <w:pPr>
        <w:ind w:left="360" w:hanging="360"/>
        <w:rPr>
          <w:i/>
          <w:iCs/>
        </w:rPr>
      </w:pPr>
      <w:r w:rsidRPr="00EC768B">
        <w:rPr>
          <w:i/>
          <w:iCs/>
        </w:rPr>
        <w:t>(c)  increase access to kidney transplants by modernizing the organ recovery and transplantation systems and updating outmoded and counterproductive regulations.</w:t>
      </w:r>
    </w:p>
    <w:p w14:paraId="4D98C66C" w14:textId="77777777" w:rsidR="001A1E7B" w:rsidRPr="001A1E7B" w:rsidRDefault="001A1E7B" w:rsidP="001A1E7B">
      <w:pPr>
        <w:rPr>
          <w:sz w:val="16"/>
          <w:szCs w:val="16"/>
        </w:rPr>
      </w:pPr>
    </w:p>
    <w:p w14:paraId="75B3CF41" w14:textId="174FCFA3" w:rsidR="00C27BDB" w:rsidRDefault="00AD5C44" w:rsidP="00C27BDB">
      <w:r>
        <w:t xml:space="preserve">Patients who choose work-friendly treatment options, for example, are better able to keep their jobs and health plans.  </w:t>
      </w:r>
      <w:r>
        <w:rPr>
          <w:b/>
          <w:bCs w:val="0"/>
        </w:rPr>
        <w:t xml:space="preserve">If </w:t>
      </w:r>
      <w:r>
        <w:rPr>
          <w:b/>
        </w:rPr>
        <w:t>each</w:t>
      </w:r>
      <w:r w:rsidR="00C27BDB" w:rsidRPr="005A2B37">
        <w:rPr>
          <w:b/>
        </w:rPr>
        <w:t xml:space="preserve"> dialysis facility offer</w:t>
      </w:r>
      <w:r>
        <w:rPr>
          <w:b/>
        </w:rPr>
        <w:t>s</w:t>
      </w:r>
      <w:r w:rsidR="00C27BDB" w:rsidRPr="005A2B37">
        <w:rPr>
          <w:b/>
        </w:rPr>
        <w:t xml:space="preserve"> </w:t>
      </w:r>
      <w:r w:rsidR="00C27BDB">
        <w:rPr>
          <w:b/>
        </w:rPr>
        <w:t xml:space="preserve">eligible </w:t>
      </w:r>
      <w:r w:rsidR="00C27BDB" w:rsidRPr="005A2B37">
        <w:rPr>
          <w:b/>
        </w:rPr>
        <w:t>patient</w:t>
      </w:r>
      <w:r>
        <w:rPr>
          <w:b/>
        </w:rPr>
        <w:t>s</w:t>
      </w:r>
      <w:r w:rsidR="00C27BDB" w:rsidRPr="005A2B37">
        <w:rPr>
          <w:b/>
        </w:rPr>
        <w:t xml:space="preserve"> an</w:t>
      </w:r>
      <w:r w:rsidR="00C27BDB">
        <w:t xml:space="preserve"> </w:t>
      </w:r>
      <w:r w:rsidR="00C27BDB" w:rsidRPr="006E4BAB">
        <w:rPr>
          <w:b/>
        </w:rPr>
        <w:t>evidence-based decision aid</w:t>
      </w:r>
      <w:r>
        <w:rPr>
          <w:b/>
        </w:rPr>
        <w:t xml:space="preserve"> that </w:t>
      </w:r>
      <w:r w:rsidR="00C27BDB" w:rsidRPr="006E4BAB">
        <w:rPr>
          <w:b/>
        </w:rPr>
        <w:t xml:space="preserve">informs them about </w:t>
      </w:r>
      <w:r w:rsidR="00C27BDB">
        <w:rPr>
          <w:b/>
        </w:rPr>
        <w:t xml:space="preserve">ALL </w:t>
      </w:r>
      <w:r>
        <w:rPr>
          <w:b/>
        </w:rPr>
        <w:t xml:space="preserve">treatment </w:t>
      </w:r>
      <w:r w:rsidR="00C27BDB" w:rsidRPr="006E4BAB">
        <w:rPr>
          <w:b/>
        </w:rPr>
        <w:t>options</w:t>
      </w:r>
      <w:r>
        <w:rPr>
          <w:b/>
        </w:rPr>
        <w:t xml:space="preserve"> </w:t>
      </w:r>
      <w:r w:rsidR="00C27BDB" w:rsidRPr="006E4BAB">
        <w:rPr>
          <w:b/>
        </w:rPr>
        <w:t>and allows them to rate how well each option fits their values</w:t>
      </w:r>
      <w:r>
        <w:rPr>
          <w:b/>
        </w:rPr>
        <w:t xml:space="preserve">, </w:t>
      </w:r>
      <w:r w:rsidRPr="00AD5C44">
        <w:rPr>
          <w:b/>
        </w:rPr>
        <w:t xml:space="preserve">CMS </w:t>
      </w:r>
      <w:r>
        <w:rPr>
          <w:b/>
        </w:rPr>
        <w:t>could</w:t>
      </w:r>
      <w:r w:rsidRPr="00AD5C44">
        <w:rPr>
          <w:b/>
        </w:rPr>
        <w:t xml:space="preserve"> </w:t>
      </w:r>
      <w:r>
        <w:rPr>
          <w:b/>
        </w:rPr>
        <w:t>reduce costs—</w:t>
      </w:r>
      <w:r w:rsidRPr="00AD5C44">
        <w:rPr>
          <w:b/>
        </w:rPr>
        <w:t>while improving patient outcomes</w:t>
      </w:r>
      <w:r w:rsidR="00C27BDB">
        <w:t xml:space="preserve">. </w:t>
      </w:r>
      <w:r>
        <w:t xml:space="preserve"> </w:t>
      </w:r>
      <w:r w:rsidR="00C27BDB">
        <w:t xml:space="preserve">The non-profit Medical Education Institute has developed </w:t>
      </w:r>
      <w:r w:rsidR="00C27BDB" w:rsidRPr="00AD5C44">
        <w:rPr>
          <w:b/>
          <w:bCs w:val="0"/>
          <w:i/>
          <w:iCs/>
        </w:rPr>
        <w:t>My Kidney Life Plan</w:t>
      </w:r>
      <w:r w:rsidR="00321F39">
        <w:rPr>
          <w:i/>
          <w:iCs/>
        </w:rPr>
        <w:t xml:space="preserve"> </w:t>
      </w:r>
      <w:r w:rsidR="00321F39">
        <w:t>(</w:t>
      </w:r>
      <w:hyperlink r:id="rId9" w:history="1">
        <w:r w:rsidR="00321F39" w:rsidRPr="00321F39">
          <w:rPr>
            <w:rStyle w:val="Hyperlink"/>
            <w:color w:val="0432FF"/>
          </w:rPr>
          <w:t>www.mykidneylifeplan.org</w:t>
        </w:r>
      </w:hyperlink>
      <w:r w:rsidR="00321F39">
        <w:t>)</w:t>
      </w:r>
      <w:r w:rsidR="00465D70">
        <w:rPr>
          <w:i/>
          <w:iCs/>
        </w:rPr>
        <w:t xml:space="preserve">, </w:t>
      </w:r>
      <w:r w:rsidR="00465D70">
        <w:t>a FREE</w:t>
      </w:r>
      <w:r w:rsidR="00AF5089">
        <w:t>, values-based</w:t>
      </w:r>
      <w:r w:rsidR="00465D70">
        <w:t xml:space="preserve"> decision aid written </w:t>
      </w:r>
      <w:r w:rsidR="00C27BDB">
        <w:t>at a 5</w:t>
      </w:r>
      <w:r w:rsidR="00C27BDB" w:rsidRPr="006E4BAB">
        <w:rPr>
          <w:vertAlign w:val="superscript"/>
        </w:rPr>
        <w:t>th</w:t>
      </w:r>
      <w:r w:rsidR="00C27BDB">
        <w:t xml:space="preserve"> grade reading level, in English and Spanish, </w:t>
      </w:r>
      <w:r w:rsidR="00465D70">
        <w:t>that</w:t>
      </w:r>
      <w:r w:rsidR="00C27BDB">
        <w:t xml:space="preserve"> meets </w:t>
      </w:r>
      <w:r w:rsidR="00807E0C">
        <w:t xml:space="preserve">all the </w:t>
      </w:r>
      <w:r w:rsidR="00C27BDB">
        <w:t xml:space="preserve">International Patient Decision Aid Standards (IPDAS) criteria. </w:t>
      </w:r>
      <w:r w:rsidR="00C27BDB" w:rsidRPr="00465D70">
        <w:rPr>
          <w:b/>
          <w:bCs w:val="0"/>
        </w:rPr>
        <w:t xml:space="preserve"> </w:t>
      </w:r>
      <w:r w:rsidR="00465D70" w:rsidRPr="00465D70">
        <w:rPr>
          <w:b/>
          <w:bCs w:val="0"/>
          <w:i/>
          <w:iCs/>
        </w:rPr>
        <w:t xml:space="preserve">My Kidney Life Plan </w:t>
      </w:r>
      <w:r w:rsidR="00465D70" w:rsidRPr="00465D70">
        <w:rPr>
          <w:b/>
          <w:bCs w:val="0"/>
        </w:rPr>
        <w:t xml:space="preserve">is the </w:t>
      </w:r>
      <w:r w:rsidR="00465D70" w:rsidRPr="00465D70">
        <w:rPr>
          <w:b/>
          <w:bCs w:val="0"/>
          <w:i/>
          <w:iCs/>
        </w:rPr>
        <w:t>only</w:t>
      </w:r>
      <w:r w:rsidR="00465D70" w:rsidRPr="00465D70">
        <w:rPr>
          <w:b/>
          <w:bCs w:val="0"/>
        </w:rPr>
        <w:t xml:space="preserve"> evidence-based decision aid that </w:t>
      </w:r>
      <w:r w:rsidR="00AF5089">
        <w:rPr>
          <w:b/>
          <w:bCs w:val="0"/>
        </w:rPr>
        <w:t xml:space="preserve">helps patients match their values and </w:t>
      </w:r>
      <w:r w:rsidR="00AF5089" w:rsidRPr="00465D70">
        <w:rPr>
          <w:b/>
          <w:bCs w:val="0"/>
        </w:rPr>
        <w:t xml:space="preserve">lifestyle </w:t>
      </w:r>
      <w:r w:rsidR="00AF5089">
        <w:rPr>
          <w:b/>
          <w:bCs w:val="0"/>
        </w:rPr>
        <w:t xml:space="preserve">preferences to </w:t>
      </w:r>
      <w:r w:rsidR="00C27BDB" w:rsidRPr="00465D70">
        <w:rPr>
          <w:b/>
          <w:bCs w:val="0"/>
        </w:rPr>
        <w:t xml:space="preserve">the impact of </w:t>
      </w:r>
      <w:r w:rsidR="00465D70" w:rsidRPr="00465D70">
        <w:rPr>
          <w:b/>
          <w:bCs w:val="0"/>
        </w:rPr>
        <w:t xml:space="preserve">all </w:t>
      </w:r>
      <w:r w:rsidR="00C27BDB" w:rsidRPr="00465D70">
        <w:rPr>
          <w:b/>
          <w:bCs w:val="0"/>
        </w:rPr>
        <w:t xml:space="preserve">nine </w:t>
      </w:r>
      <w:r w:rsidR="00465D70" w:rsidRPr="00465D70">
        <w:rPr>
          <w:b/>
          <w:bCs w:val="0"/>
        </w:rPr>
        <w:t xml:space="preserve">treatment </w:t>
      </w:r>
      <w:r w:rsidR="00C27BDB" w:rsidRPr="00465D70">
        <w:rPr>
          <w:b/>
          <w:bCs w:val="0"/>
        </w:rPr>
        <w:t>options for kidney failure</w:t>
      </w:r>
      <w:r w:rsidR="00C27BDB">
        <w:t>:</w:t>
      </w:r>
    </w:p>
    <w:p w14:paraId="0E22F012" w14:textId="77777777" w:rsidR="00C27BDB" w:rsidRDefault="00C27BDB" w:rsidP="00217C96">
      <w:pPr>
        <w:pStyle w:val="ListParagraph"/>
        <w:numPr>
          <w:ilvl w:val="0"/>
          <w:numId w:val="7"/>
        </w:numPr>
        <w:ind w:left="360"/>
      </w:pPr>
      <w:r>
        <w:t>Kidney transplant</w:t>
      </w:r>
    </w:p>
    <w:p w14:paraId="6D6094F7" w14:textId="77777777" w:rsidR="00C27BDB" w:rsidRDefault="00C27BDB" w:rsidP="00217C96">
      <w:pPr>
        <w:pStyle w:val="ListParagraph"/>
        <w:numPr>
          <w:ilvl w:val="0"/>
          <w:numId w:val="7"/>
        </w:numPr>
        <w:ind w:left="360"/>
      </w:pPr>
      <w:r>
        <w:t>Standard in-center hemodialysis</w:t>
      </w:r>
    </w:p>
    <w:p w14:paraId="2D3FAAF0" w14:textId="77777777" w:rsidR="00C27BDB" w:rsidRDefault="00C27BDB" w:rsidP="00217C96">
      <w:pPr>
        <w:pStyle w:val="ListParagraph"/>
        <w:numPr>
          <w:ilvl w:val="0"/>
          <w:numId w:val="7"/>
        </w:numPr>
        <w:ind w:left="360"/>
      </w:pPr>
      <w:r>
        <w:t>Nocturnal in-center hemodialysis</w:t>
      </w:r>
    </w:p>
    <w:p w14:paraId="7E8D7F8B" w14:textId="77777777" w:rsidR="00C27BDB" w:rsidRDefault="00C27BDB" w:rsidP="00217C96">
      <w:pPr>
        <w:pStyle w:val="ListParagraph"/>
        <w:numPr>
          <w:ilvl w:val="0"/>
          <w:numId w:val="7"/>
        </w:numPr>
        <w:ind w:left="360"/>
      </w:pPr>
      <w:r>
        <w:t>Standard home hemodialysis</w:t>
      </w:r>
    </w:p>
    <w:p w14:paraId="1562E6D8" w14:textId="77777777" w:rsidR="00C27BDB" w:rsidRDefault="00C27BDB" w:rsidP="00217C96">
      <w:pPr>
        <w:pStyle w:val="ListParagraph"/>
        <w:numPr>
          <w:ilvl w:val="0"/>
          <w:numId w:val="7"/>
        </w:numPr>
        <w:ind w:left="360"/>
      </w:pPr>
      <w:r>
        <w:t>Short daily home hemodialysis</w:t>
      </w:r>
    </w:p>
    <w:p w14:paraId="0E3E9CF3" w14:textId="77777777" w:rsidR="00C27BDB" w:rsidRDefault="00C27BDB" w:rsidP="00217C96">
      <w:pPr>
        <w:pStyle w:val="ListParagraph"/>
        <w:numPr>
          <w:ilvl w:val="0"/>
          <w:numId w:val="7"/>
        </w:numPr>
        <w:ind w:left="360"/>
      </w:pPr>
      <w:r>
        <w:t>Nocturnal home hemodialysis</w:t>
      </w:r>
    </w:p>
    <w:p w14:paraId="1317DDC3" w14:textId="77777777" w:rsidR="00C27BDB" w:rsidRDefault="00C27BDB" w:rsidP="00217C96">
      <w:pPr>
        <w:pStyle w:val="ListParagraph"/>
        <w:numPr>
          <w:ilvl w:val="0"/>
          <w:numId w:val="7"/>
        </w:numPr>
        <w:ind w:left="360"/>
      </w:pPr>
      <w:r>
        <w:t>Continuous ambulatory peritoneal dialysis</w:t>
      </w:r>
    </w:p>
    <w:p w14:paraId="15A34042" w14:textId="77777777" w:rsidR="00C27BDB" w:rsidRDefault="00C27BDB" w:rsidP="00217C96">
      <w:pPr>
        <w:pStyle w:val="ListParagraph"/>
        <w:numPr>
          <w:ilvl w:val="0"/>
          <w:numId w:val="7"/>
        </w:numPr>
        <w:ind w:left="360"/>
      </w:pPr>
      <w:r>
        <w:t>Automated peritoneal dialysis</w:t>
      </w:r>
    </w:p>
    <w:p w14:paraId="32E4E338" w14:textId="3E70731B" w:rsidR="00C27BDB" w:rsidRDefault="00465D70" w:rsidP="00217C96">
      <w:pPr>
        <w:pStyle w:val="ListParagraph"/>
        <w:numPr>
          <w:ilvl w:val="0"/>
          <w:numId w:val="7"/>
        </w:numPr>
        <w:ind w:left="360"/>
      </w:pPr>
      <w:r>
        <w:t>A</w:t>
      </w:r>
      <w:r w:rsidR="00C27BDB">
        <w:t>ctive medical management without dialysis</w:t>
      </w:r>
      <w:r>
        <w:t xml:space="preserve"> (referred to as Comfort Care</w:t>
      </w:r>
      <w:r w:rsidR="00C27BDB">
        <w:t>)</w:t>
      </w:r>
    </w:p>
    <w:p w14:paraId="79010874" w14:textId="77777777" w:rsidR="001A1E7B" w:rsidRPr="001A1E7B" w:rsidRDefault="001A1E7B" w:rsidP="001A1E7B">
      <w:pPr>
        <w:pStyle w:val="ListParagraph"/>
        <w:rPr>
          <w:sz w:val="16"/>
          <w:szCs w:val="16"/>
        </w:rPr>
      </w:pPr>
    </w:p>
    <w:p w14:paraId="1EF9691D" w14:textId="77E27372" w:rsidR="00F809B9" w:rsidRDefault="00C27BDB" w:rsidP="00C27BDB">
      <w:r>
        <w:t xml:space="preserve">What follows is a suggested </w:t>
      </w:r>
      <w:r w:rsidR="00321F39">
        <w:t>Clinical O</w:t>
      </w:r>
      <w:r w:rsidR="00465D70">
        <w:t>utcomes</w:t>
      </w:r>
      <w:r>
        <w:t xml:space="preserve"> measure.</w:t>
      </w:r>
    </w:p>
    <w:p w14:paraId="50A08B0B" w14:textId="77777777" w:rsidR="001A1E7B" w:rsidRPr="001A1E7B" w:rsidRDefault="001A1E7B" w:rsidP="001A1E7B">
      <w:pPr>
        <w:rPr>
          <w:sz w:val="16"/>
          <w:szCs w:val="16"/>
        </w:rPr>
      </w:pPr>
    </w:p>
    <w:p w14:paraId="0D246E2D" w14:textId="77777777" w:rsidR="00C27BDB" w:rsidRPr="005B7042" w:rsidRDefault="00C27BDB" w:rsidP="00C27BDB">
      <w:pPr>
        <w:rPr>
          <w:b/>
          <w:bCs w:val="0"/>
        </w:rPr>
      </w:pPr>
      <w:r w:rsidRPr="005B7042">
        <w:rPr>
          <w:b/>
        </w:rPr>
        <w:t>Measure Name/Title:</w:t>
      </w:r>
    </w:p>
    <w:p w14:paraId="49A37563" w14:textId="13157760" w:rsidR="00C27BDB" w:rsidRPr="00217C96" w:rsidRDefault="00807E0C" w:rsidP="00C27BDB">
      <w:pPr>
        <w:rPr>
          <w:i/>
          <w:iCs/>
        </w:rPr>
      </w:pPr>
      <w:r w:rsidRPr="00217C96">
        <w:rPr>
          <w:i/>
          <w:iCs/>
        </w:rPr>
        <w:t>Matching ESRD Treatment Option</w:t>
      </w:r>
      <w:r w:rsidR="00321F39" w:rsidRPr="00217C96">
        <w:rPr>
          <w:i/>
          <w:iCs/>
        </w:rPr>
        <w:t xml:space="preserve"> Choices</w:t>
      </w:r>
      <w:r w:rsidRPr="00217C96">
        <w:rPr>
          <w:i/>
          <w:iCs/>
        </w:rPr>
        <w:t xml:space="preserve"> to Patient Values</w:t>
      </w:r>
      <w:r w:rsidR="00321F39" w:rsidRPr="00217C96">
        <w:rPr>
          <w:i/>
          <w:iCs/>
        </w:rPr>
        <w:t xml:space="preserve"> </w:t>
      </w:r>
    </w:p>
    <w:p w14:paraId="3A02FE76" w14:textId="77777777" w:rsidR="001A1E7B" w:rsidRPr="001A1E7B" w:rsidRDefault="001A1E7B" w:rsidP="001A1E7B">
      <w:pPr>
        <w:rPr>
          <w:sz w:val="16"/>
          <w:szCs w:val="16"/>
        </w:rPr>
      </w:pPr>
    </w:p>
    <w:p w14:paraId="57FDB6C0" w14:textId="77777777" w:rsidR="00C27BDB" w:rsidRDefault="00C27BDB" w:rsidP="00C27BDB">
      <w:pPr>
        <w:rPr>
          <w:b/>
          <w:bCs w:val="0"/>
        </w:rPr>
      </w:pPr>
      <w:r w:rsidRPr="005B7042">
        <w:rPr>
          <w:b/>
        </w:rPr>
        <w:t>Description of</w:t>
      </w:r>
      <w:r>
        <w:rPr>
          <w:b/>
        </w:rPr>
        <w:t xml:space="preserve"> the Proposed Measure</w:t>
      </w:r>
    </w:p>
    <w:p w14:paraId="42C2F005" w14:textId="36204582" w:rsidR="00807E0C" w:rsidRDefault="00807E0C" w:rsidP="00217C96">
      <w:pPr>
        <w:ind w:right="-90"/>
      </w:pPr>
      <w:r>
        <w:t>Percent</w:t>
      </w:r>
      <w:r w:rsidRPr="00B81E84">
        <w:t xml:space="preserve"> of eligible patients in the performance period </w:t>
      </w:r>
      <w:r>
        <w:t xml:space="preserve">who </w:t>
      </w:r>
      <w:r w:rsidR="00B77E5B">
        <w:t>initiate</w:t>
      </w:r>
      <w:r>
        <w:t xml:space="preserve"> an ESRD treatment consistent with </w:t>
      </w:r>
      <w:r w:rsidR="00B77E5B">
        <w:t>one of the</w:t>
      </w:r>
      <w:r>
        <w:t xml:space="preserve"> choice</w:t>
      </w:r>
      <w:r w:rsidR="00B77E5B">
        <w:t>s</w:t>
      </w:r>
      <w:r>
        <w:t xml:space="preserve"> they </w:t>
      </w:r>
      <w:r w:rsidR="00B77E5B">
        <w:t>rated most highly</w:t>
      </w:r>
      <w:r>
        <w:t xml:space="preserve"> on an evidence-based ESRD treatment decision aid that contains </w:t>
      </w:r>
      <w:proofErr w:type="gramStart"/>
      <w:r>
        <w:t>all of</w:t>
      </w:r>
      <w:proofErr w:type="gramEnd"/>
      <w:r>
        <w:t xml:space="preserve"> the ESRD treatment options</w:t>
      </w:r>
      <w:r w:rsidR="00321F39">
        <w:t xml:space="preserve">, such as </w:t>
      </w:r>
      <w:r w:rsidR="00321F39">
        <w:rPr>
          <w:i/>
          <w:iCs/>
        </w:rPr>
        <w:t>My Kidney Life Plan</w:t>
      </w:r>
      <w:r>
        <w:t xml:space="preserve">.  </w:t>
      </w:r>
    </w:p>
    <w:p w14:paraId="1FE8CA10" w14:textId="77777777" w:rsidR="001A1E7B" w:rsidRPr="001A1E7B" w:rsidRDefault="001A1E7B" w:rsidP="001A1E7B">
      <w:pPr>
        <w:rPr>
          <w:sz w:val="16"/>
          <w:szCs w:val="16"/>
        </w:rPr>
      </w:pPr>
    </w:p>
    <w:p w14:paraId="5E995569" w14:textId="77777777" w:rsidR="00C27BDB" w:rsidRPr="00EC768B" w:rsidRDefault="00C27BDB" w:rsidP="00C27BDB">
      <w:pPr>
        <w:rPr>
          <w:b/>
          <w:bCs w:val="0"/>
        </w:rPr>
      </w:pPr>
      <w:r w:rsidRPr="00EC768B">
        <w:rPr>
          <w:b/>
        </w:rPr>
        <w:t>Measure Type</w:t>
      </w:r>
    </w:p>
    <w:p w14:paraId="3B6E77CF" w14:textId="0280A575" w:rsidR="00C27BDB" w:rsidRDefault="00321F39" w:rsidP="00C27BDB">
      <w:r>
        <w:t>Clinical Outcomes</w:t>
      </w:r>
    </w:p>
    <w:p w14:paraId="409C8F72" w14:textId="77777777" w:rsidR="001A1E7B" w:rsidRDefault="001A1E7B" w:rsidP="001A1E7B">
      <w:pPr>
        <w:rPr>
          <w:sz w:val="16"/>
          <w:szCs w:val="16"/>
        </w:rPr>
      </w:pPr>
    </w:p>
    <w:p w14:paraId="7C729187" w14:textId="77777777" w:rsidR="00C27BDB" w:rsidRPr="00B81E84" w:rsidRDefault="00C27BDB" w:rsidP="00C27BDB">
      <w:pPr>
        <w:rPr>
          <w:b/>
          <w:bCs w:val="0"/>
        </w:rPr>
      </w:pPr>
      <w:r w:rsidRPr="00B81E84">
        <w:rPr>
          <w:b/>
        </w:rPr>
        <w:t>Numerator Statement</w:t>
      </w:r>
    </w:p>
    <w:p w14:paraId="5786B22D" w14:textId="656E4C86" w:rsidR="00AD5C44" w:rsidRDefault="00807E0C" w:rsidP="00807E0C">
      <w:r w:rsidRPr="00B77E5B">
        <w:t xml:space="preserve">The </w:t>
      </w:r>
      <w:r w:rsidR="00B77E5B" w:rsidRPr="00B77E5B">
        <w:t>number</w:t>
      </w:r>
      <w:r w:rsidRPr="00B77E5B">
        <w:t xml:space="preserve"> of eligible patients for which a facility reports </w:t>
      </w:r>
      <w:r w:rsidR="00411DD4">
        <w:t xml:space="preserve">condition A in the table below under “additional </w:t>
      </w:r>
      <w:r w:rsidR="00411DD4" w:rsidRPr="00B77E5B">
        <w:t>Information</w:t>
      </w:r>
      <w:r w:rsidR="00411DD4">
        <w:t xml:space="preserve">” </w:t>
      </w:r>
      <w:r w:rsidR="00411DD4" w:rsidRPr="00B77E5B">
        <w:t>in EQRS</w:t>
      </w:r>
      <w:r w:rsidRPr="00B77E5B">
        <w:t xml:space="preserve"> before the close of the clinical month of December.</w:t>
      </w:r>
    </w:p>
    <w:p w14:paraId="66BBBA96" w14:textId="77777777" w:rsidR="001A1E7B" w:rsidRPr="00AD5C44" w:rsidRDefault="001A1E7B" w:rsidP="00C27BDB">
      <w:pPr>
        <w:rPr>
          <w:b/>
          <w:sz w:val="16"/>
          <w:szCs w:val="16"/>
        </w:rPr>
      </w:pPr>
    </w:p>
    <w:p w14:paraId="79B0EC24" w14:textId="65EA4090" w:rsidR="00C27BDB" w:rsidRDefault="00C27BDB" w:rsidP="00C27BDB">
      <w:r w:rsidRPr="00B81E84">
        <w:rPr>
          <w:b/>
        </w:rPr>
        <w:lastRenderedPageBreak/>
        <w:t xml:space="preserve">Denominator Statement </w:t>
      </w:r>
    </w:p>
    <w:p w14:paraId="13601273" w14:textId="407054B5" w:rsidR="00C27BDB" w:rsidRDefault="00C27BDB" w:rsidP="00C27BDB">
      <w:r w:rsidRPr="00B81E84">
        <w:t>Number of patients in the performance period</w:t>
      </w:r>
      <w:r w:rsidR="00B77E5B">
        <w:t xml:space="preserve"> who do not have any of the following exclusions</w:t>
      </w:r>
      <w:r w:rsidR="00321F39">
        <w:t>:</w:t>
      </w:r>
    </w:p>
    <w:p w14:paraId="00A683C1" w14:textId="77777777" w:rsidR="00C27BDB" w:rsidRPr="00B81E84" w:rsidRDefault="00C27BDB" w:rsidP="00411DD4">
      <w:pPr>
        <w:ind w:firstLine="360"/>
        <w:rPr>
          <w:b/>
          <w:bCs w:val="0"/>
        </w:rPr>
      </w:pPr>
      <w:r w:rsidRPr="00B81E84">
        <w:rPr>
          <w:b/>
        </w:rPr>
        <w:t xml:space="preserve">Facility Exclusions </w:t>
      </w:r>
    </w:p>
    <w:p w14:paraId="0F192FB3" w14:textId="6483BCE8" w:rsidR="00C27BDB" w:rsidRDefault="00C27BDB" w:rsidP="00411DD4">
      <w:pPr>
        <w:pStyle w:val="ListParagraph"/>
        <w:numPr>
          <w:ilvl w:val="0"/>
          <w:numId w:val="10"/>
        </w:numPr>
      </w:pPr>
      <w:r w:rsidRPr="00B81E84">
        <w:t xml:space="preserve">Facilities with a </w:t>
      </w:r>
      <w:r w:rsidR="00B77E5B">
        <w:t>CMS Certification Number (</w:t>
      </w:r>
      <w:r w:rsidRPr="00B81E84">
        <w:t>CCN</w:t>
      </w:r>
      <w:r w:rsidR="00B77E5B">
        <w:t>)</w:t>
      </w:r>
      <w:r w:rsidRPr="00B81E84">
        <w:t xml:space="preserve"> certification date on or after September 1 of the performance period. </w:t>
      </w:r>
    </w:p>
    <w:p w14:paraId="54479C6D" w14:textId="77777777" w:rsidR="00C27BDB" w:rsidRDefault="00C27BDB" w:rsidP="00411DD4">
      <w:pPr>
        <w:pStyle w:val="ListParagraph"/>
        <w:numPr>
          <w:ilvl w:val="0"/>
          <w:numId w:val="10"/>
        </w:numPr>
      </w:pPr>
      <w:r w:rsidRPr="00B81E84">
        <w:t xml:space="preserve">Facilities treating fewer than 11 eligible patients during the performance period. </w:t>
      </w:r>
    </w:p>
    <w:p w14:paraId="5A48E1FE" w14:textId="6EEBF2DC" w:rsidR="00C27BDB" w:rsidRDefault="00C27BDB" w:rsidP="00411DD4">
      <w:pPr>
        <w:pStyle w:val="ListParagraph"/>
        <w:numPr>
          <w:ilvl w:val="0"/>
          <w:numId w:val="10"/>
        </w:numPr>
      </w:pPr>
      <w:r w:rsidRPr="00B81E84">
        <w:t xml:space="preserve">Calculations will exclude the months covered by a granted </w:t>
      </w:r>
      <w:r w:rsidR="00B77E5B">
        <w:t>Extraordinary Circumstance Exception (</w:t>
      </w:r>
      <w:r w:rsidRPr="00B81E84">
        <w:t>ECE</w:t>
      </w:r>
      <w:r w:rsidR="00B77E5B">
        <w:t>)</w:t>
      </w:r>
      <w:r w:rsidRPr="00B81E84">
        <w:t xml:space="preserve">. </w:t>
      </w:r>
    </w:p>
    <w:p w14:paraId="4AF20A5F" w14:textId="77777777" w:rsidR="001A1E7B" w:rsidRPr="001A1E7B" w:rsidRDefault="001A1E7B" w:rsidP="001A1E7B">
      <w:pPr>
        <w:pStyle w:val="ListParagraph"/>
        <w:rPr>
          <w:sz w:val="16"/>
          <w:szCs w:val="16"/>
        </w:rPr>
      </w:pPr>
    </w:p>
    <w:p w14:paraId="1CAD292F" w14:textId="77777777" w:rsidR="00C27BDB" w:rsidRDefault="00C27BDB" w:rsidP="00C27BDB">
      <w:pPr>
        <w:ind w:firstLine="360"/>
      </w:pPr>
      <w:r w:rsidRPr="00B81E84">
        <w:rPr>
          <w:b/>
        </w:rPr>
        <w:t>Patient Exclusions</w:t>
      </w:r>
      <w:r w:rsidRPr="00B81E84">
        <w:t xml:space="preserve"> </w:t>
      </w:r>
    </w:p>
    <w:p w14:paraId="3A11A37A" w14:textId="77777777" w:rsidR="00C27BDB" w:rsidRDefault="00C27BDB" w:rsidP="00C27BDB">
      <w:pPr>
        <w:pStyle w:val="ListParagraph"/>
        <w:numPr>
          <w:ilvl w:val="0"/>
          <w:numId w:val="9"/>
        </w:numPr>
      </w:pPr>
      <w:r w:rsidRPr="00B81E84">
        <w:t xml:space="preserve">Patients who are younger </w:t>
      </w:r>
      <w:r w:rsidRPr="00366898">
        <w:t>than 12 years.</w:t>
      </w:r>
      <w:r w:rsidRPr="00B81E84">
        <w:t xml:space="preserve"> </w:t>
      </w:r>
    </w:p>
    <w:p w14:paraId="51B94A06" w14:textId="77777777" w:rsidR="00C27BDB" w:rsidRDefault="00C27BDB" w:rsidP="00C27BDB">
      <w:pPr>
        <w:pStyle w:val="ListParagraph"/>
        <w:numPr>
          <w:ilvl w:val="0"/>
          <w:numId w:val="9"/>
        </w:numPr>
      </w:pPr>
      <w:r w:rsidRPr="00B81E84">
        <w:t xml:space="preserve">Patients treated at the facility for fewer than </w:t>
      </w:r>
      <w:r>
        <w:t>3</w:t>
      </w:r>
      <w:r w:rsidRPr="00B81E84">
        <w:t xml:space="preserve">0 days during the performance period. </w:t>
      </w:r>
    </w:p>
    <w:p w14:paraId="6AA89505" w14:textId="3124E7D4" w:rsidR="000F3D68" w:rsidRDefault="000F3D68" w:rsidP="00321F39">
      <w:pPr>
        <w:pStyle w:val="ListParagraph"/>
        <w:numPr>
          <w:ilvl w:val="0"/>
          <w:numId w:val="9"/>
        </w:numPr>
      </w:pPr>
      <w:r>
        <w:t>Patients for whom there are no dialysis claims during the performance period.</w:t>
      </w:r>
    </w:p>
    <w:p w14:paraId="5A6B6F2E" w14:textId="02D63E61" w:rsidR="00411DD4" w:rsidRDefault="00411DD4" w:rsidP="00411DD4">
      <w:pPr>
        <w:pStyle w:val="ListParagraph"/>
        <w:numPr>
          <w:ilvl w:val="0"/>
          <w:numId w:val="9"/>
        </w:numPr>
        <w:ind w:right="-270"/>
      </w:pPr>
      <w:r>
        <w:t xml:space="preserve">The patient lacks decisional capacity </w:t>
      </w:r>
      <w:r w:rsidRPr="00064ECF">
        <w:rPr>
          <w:i/>
          <w:iCs/>
        </w:rPr>
        <w:t>and has no proxy with a durable power of attorney</w:t>
      </w:r>
      <w:r>
        <w:t xml:space="preserve"> who has legal authority to make decisions about the patient’s treatment option.</w:t>
      </w:r>
    </w:p>
    <w:p w14:paraId="63A2F6D1" w14:textId="57B42177" w:rsidR="00321F39" w:rsidRDefault="00411DD4" w:rsidP="00411DD4">
      <w:pPr>
        <w:pStyle w:val="ListParagraph"/>
        <w:numPr>
          <w:ilvl w:val="0"/>
          <w:numId w:val="9"/>
        </w:numPr>
        <w:ind w:right="-90"/>
      </w:pPr>
      <w:r>
        <w:t>O</w:t>
      </w:r>
      <w:r w:rsidR="00321F39" w:rsidRPr="00B81E84">
        <w:t xml:space="preserve">ne or more of the following conditions are documented during the </w:t>
      </w:r>
      <w:r>
        <w:t>performance</w:t>
      </w:r>
      <w:r w:rsidR="00321F39" w:rsidRPr="00B81E84">
        <w:t xml:space="preserve"> period: </w:t>
      </w:r>
    </w:p>
    <w:p w14:paraId="7DE3996C" w14:textId="3D32AEA1" w:rsidR="00321F39" w:rsidRDefault="00321F39" w:rsidP="00321F39">
      <w:pPr>
        <w:pStyle w:val="ListParagraph"/>
        <w:numPr>
          <w:ilvl w:val="0"/>
          <w:numId w:val="13"/>
        </w:numPr>
        <w:ind w:left="1080"/>
      </w:pPr>
      <w:r w:rsidRPr="00B81E84">
        <w:t xml:space="preserve">Patient </w:t>
      </w:r>
      <w:r>
        <w:t>has one or more clinical contraindications limiting treatment options to one.</w:t>
      </w:r>
    </w:p>
    <w:p w14:paraId="1F81BAD9" w14:textId="5347648D" w:rsidR="00321F39" w:rsidRDefault="00321F39" w:rsidP="00321F39">
      <w:pPr>
        <w:pStyle w:val="ListParagraph"/>
        <w:numPr>
          <w:ilvl w:val="0"/>
          <w:numId w:val="13"/>
        </w:numPr>
        <w:ind w:left="1080"/>
      </w:pPr>
      <w:r>
        <w:t>Facility has documentation that the patient chose not to use an evidence-based ESRD treatment decision aid.</w:t>
      </w:r>
    </w:p>
    <w:p w14:paraId="58BB0D36" w14:textId="77777777" w:rsidR="001A1E7B" w:rsidRPr="001A1E7B" w:rsidRDefault="001A1E7B" w:rsidP="001A1E7B">
      <w:pPr>
        <w:pStyle w:val="ListParagraph"/>
        <w:ind w:left="1440"/>
        <w:rPr>
          <w:sz w:val="16"/>
          <w:szCs w:val="16"/>
        </w:rPr>
      </w:pPr>
    </w:p>
    <w:p w14:paraId="0B07B872" w14:textId="77777777" w:rsidR="00C27BDB" w:rsidRDefault="00C27BDB" w:rsidP="00C27BDB">
      <w:r w:rsidRPr="00B81E84">
        <w:rPr>
          <w:b/>
        </w:rPr>
        <w:t>Data Source(s)</w:t>
      </w:r>
      <w:r w:rsidRPr="00B81E84">
        <w:t xml:space="preserve"> </w:t>
      </w:r>
    </w:p>
    <w:p w14:paraId="758586D1" w14:textId="77777777" w:rsidR="000F3D68" w:rsidRDefault="00C27BDB" w:rsidP="00411DD4">
      <w:pPr>
        <w:pStyle w:val="ListParagraph"/>
        <w:numPr>
          <w:ilvl w:val="0"/>
          <w:numId w:val="8"/>
        </w:numPr>
        <w:ind w:left="360"/>
      </w:pPr>
      <w:r w:rsidRPr="00B81E84">
        <w:t>EQRS</w:t>
      </w:r>
    </w:p>
    <w:p w14:paraId="423BA7A2" w14:textId="7656F4B9" w:rsidR="00C27BDB" w:rsidRDefault="00C27BDB" w:rsidP="00411DD4">
      <w:pPr>
        <w:pStyle w:val="ListParagraph"/>
        <w:numPr>
          <w:ilvl w:val="0"/>
          <w:numId w:val="8"/>
        </w:numPr>
        <w:ind w:left="360"/>
      </w:pPr>
      <w:r w:rsidRPr="00B81E84">
        <w:t>Enrollment Data Base (EDB) and other CMS ESRD administrative data</w:t>
      </w:r>
    </w:p>
    <w:p w14:paraId="57BADB43" w14:textId="77777777" w:rsidR="001A1E7B" w:rsidRPr="001A1E7B" w:rsidRDefault="001A1E7B" w:rsidP="001A1E7B">
      <w:pPr>
        <w:pStyle w:val="ListParagraph"/>
        <w:rPr>
          <w:sz w:val="16"/>
          <w:szCs w:val="16"/>
        </w:rPr>
      </w:pPr>
    </w:p>
    <w:p w14:paraId="1F4B6E0D" w14:textId="77777777" w:rsidR="00C27BDB" w:rsidRDefault="00C27BDB" w:rsidP="00C27BDB">
      <w:r w:rsidRPr="00B81E84">
        <w:rPr>
          <w:b/>
        </w:rPr>
        <w:t>Additional Information</w:t>
      </w:r>
      <w:r w:rsidRPr="00B81E84">
        <w:t xml:space="preserve"> </w:t>
      </w:r>
    </w:p>
    <w:p w14:paraId="6EC837D8" w14:textId="77B03BC6" w:rsidR="00411DD4" w:rsidRDefault="00C27BDB" w:rsidP="00411DD4">
      <w:r w:rsidRPr="00B81E84">
        <w:t>F</w:t>
      </w:r>
      <w:r w:rsidR="00321F39">
        <w:t>or this Clinical Outcomes measure, f</w:t>
      </w:r>
      <w:r w:rsidRPr="00B81E84">
        <w:t xml:space="preserve">acilities </w:t>
      </w:r>
      <w:r w:rsidR="00411DD4">
        <w:t>will</w:t>
      </w:r>
      <w:r w:rsidR="00321F39">
        <w:t xml:space="preserve"> </w:t>
      </w:r>
      <w:r w:rsidRPr="00B81E84">
        <w:t xml:space="preserve">select one of </w:t>
      </w:r>
      <w:r w:rsidR="00321F39">
        <w:t xml:space="preserve">the following </w:t>
      </w:r>
      <w:r w:rsidRPr="00B81E84">
        <w:t>conditions</w:t>
      </w:r>
      <w:r w:rsidR="004110DA">
        <w:t>.  E</w:t>
      </w:r>
      <w:r w:rsidR="00411DD4">
        <w:t>ach patient in condition</w:t>
      </w:r>
      <w:r w:rsidR="00411DD4" w:rsidRPr="00B81E84">
        <w:t xml:space="preserve"> </w:t>
      </w:r>
      <w:r w:rsidR="00411DD4">
        <w:t>A, B, or C is eligible to be counted in the denominator.</w:t>
      </w:r>
    </w:p>
    <w:p w14:paraId="2FF49410" w14:textId="77777777" w:rsidR="00E6210E" w:rsidRDefault="00E6210E" w:rsidP="00E6210E"/>
    <w:tbl>
      <w:tblPr>
        <w:tblStyle w:val="TableGrid"/>
        <w:tblW w:w="9355" w:type="dxa"/>
        <w:tblLayout w:type="fixed"/>
        <w:tblLook w:val="04A0" w:firstRow="1" w:lastRow="0" w:firstColumn="1" w:lastColumn="0" w:noHBand="0" w:noVBand="1"/>
      </w:tblPr>
      <w:tblGrid>
        <w:gridCol w:w="364"/>
        <w:gridCol w:w="981"/>
        <w:gridCol w:w="989"/>
        <w:gridCol w:w="2616"/>
        <w:gridCol w:w="2430"/>
        <w:gridCol w:w="990"/>
        <w:gridCol w:w="985"/>
      </w:tblGrid>
      <w:tr w:rsidR="00064ECF" w14:paraId="29B357AC" w14:textId="77777777" w:rsidTr="005A7C84">
        <w:tc>
          <w:tcPr>
            <w:tcW w:w="364" w:type="dxa"/>
            <w:tcBorders>
              <w:top w:val="nil"/>
              <w:left w:val="nil"/>
              <w:bottom w:val="nil"/>
            </w:tcBorders>
          </w:tcPr>
          <w:p w14:paraId="559E10BE" w14:textId="77777777" w:rsidR="00064ECF" w:rsidRDefault="00064ECF" w:rsidP="00E6210E">
            <w:pPr>
              <w:jc w:val="center"/>
            </w:pPr>
          </w:p>
        </w:tc>
        <w:tc>
          <w:tcPr>
            <w:tcW w:w="1970" w:type="dxa"/>
            <w:gridSpan w:val="2"/>
          </w:tcPr>
          <w:p w14:paraId="49ED0043" w14:textId="1B6E13BA" w:rsidR="00064ECF" w:rsidRDefault="00064ECF" w:rsidP="00E6210E">
            <w:pPr>
              <w:jc w:val="center"/>
            </w:pPr>
            <w:r>
              <w:t xml:space="preserve">Documented Patient Eligibility </w:t>
            </w:r>
          </w:p>
        </w:tc>
        <w:tc>
          <w:tcPr>
            <w:tcW w:w="5046" w:type="dxa"/>
            <w:gridSpan w:val="2"/>
          </w:tcPr>
          <w:p w14:paraId="2BF524F6" w14:textId="5BAC80F0" w:rsidR="00064ECF" w:rsidRDefault="00064ECF" w:rsidP="00E6210E">
            <w:pPr>
              <w:jc w:val="center"/>
            </w:pPr>
            <w:r>
              <w:t>Documented screening for choice of ESRD treatment using an evidence-based decision aid</w:t>
            </w:r>
          </w:p>
        </w:tc>
        <w:tc>
          <w:tcPr>
            <w:tcW w:w="1975" w:type="dxa"/>
            <w:gridSpan w:val="2"/>
          </w:tcPr>
          <w:p w14:paraId="6028B3E8" w14:textId="77777777" w:rsidR="00064ECF" w:rsidRDefault="00064ECF" w:rsidP="00E6210E">
            <w:pPr>
              <w:jc w:val="center"/>
            </w:pPr>
            <w:r>
              <w:t xml:space="preserve">Documented </w:t>
            </w:r>
          </w:p>
          <w:p w14:paraId="50292544" w14:textId="2385D427" w:rsidR="00064ECF" w:rsidRDefault="00064ECF" w:rsidP="00E6210E">
            <w:pPr>
              <w:jc w:val="center"/>
            </w:pPr>
            <w:r>
              <w:t>Follow-up Plan</w:t>
            </w:r>
          </w:p>
        </w:tc>
      </w:tr>
      <w:tr w:rsidR="00064ECF" w14:paraId="79E78FC7" w14:textId="77777777" w:rsidTr="005A7C84">
        <w:tc>
          <w:tcPr>
            <w:tcW w:w="364" w:type="dxa"/>
            <w:tcBorders>
              <w:top w:val="nil"/>
              <w:left w:val="nil"/>
            </w:tcBorders>
          </w:tcPr>
          <w:p w14:paraId="42B023AE" w14:textId="77777777" w:rsidR="00064ECF" w:rsidRDefault="00064ECF" w:rsidP="00E6210E">
            <w:pPr>
              <w:jc w:val="center"/>
            </w:pPr>
          </w:p>
        </w:tc>
        <w:tc>
          <w:tcPr>
            <w:tcW w:w="981" w:type="dxa"/>
          </w:tcPr>
          <w:p w14:paraId="03BDE886" w14:textId="77777777" w:rsidR="00064ECF" w:rsidRDefault="00064ECF" w:rsidP="00E6210E">
            <w:pPr>
              <w:jc w:val="center"/>
              <w:rPr>
                <w:b/>
                <w:bCs w:val="0"/>
              </w:rPr>
            </w:pPr>
            <w:r>
              <w:rPr>
                <w:b/>
                <w:bCs w:val="0"/>
              </w:rPr>
              <w:t>Yes</w:t>
            </w:r>
          </w:p>
        </w:tc>
        <w:tc>
          <w:tcPr>
            <w:tcW w:w="989" w:type="dxa"/>
          </w:tcPr>
          <w:p w14:paraId="2B7713B6" w14:textId="0D2BE171" w:rsidR="00064ECF" w:rsidRDefault="00064ECF" w:rsidP="00E6210E">
            <w:pPr>
              <w:jc w:val="center"/>
              <w:rPr>
                <w:b/>
                <w:bCs w:val="0"/>
              </w:rPr>
            </w:pPr>
            <w:r>
              <w:rPr>
                <w:b/>
                <w:bCs w:val="0"/>
              </w:rPr>
              <w:t>No</w:t>
            </w:r>
          </w:p>
        </w:tc>
        <w:tc>
          <w:tcPr>
            <w:tcW w:w="2616" w:type="dxa"/>
          </w:tcPr>
          <w:p w14:paraId="69EF7A77" w14:textId="31D66971" w:rsidR="00064ECF" w:rsidRPr="00E6210E" w:rsidRDefault="00064ECF" w:rsidP="00E6210E">
            <w:pPr>
              <w:jc w:val="center"/>
              <w:rPr>
                <w:b/>
                <w:bCs w:val="0"/>
              </w:rPr>
            </w:pPr>
            <w:r>
              <w:rPr>
                <w:b/>
                <w:bCs w:val="0"/>
              </w:rPr>
              <w:t>Yes</w:t>
            </w:r>
          </w:p>
        </w:tc>
        <w:tc>
          <w:tcPr>
            <w:tcW w:w="2430" w:type="dxa"/>
          </w:tcPr>
          <w:p w14:paraId="7A55ACE3" w14:textId="1D2011B2" w:rsidR="00064ECF" w:rsidRPr="00E6210E" w:rsidRDefault="00064ECF" w:rsidP="00E6210E">
            <w:pPr>
              <w:jc w:val="center"/>
              <w:rPr>
                <w:b/>
                <w:bCs w:val="0"/>
              </w:rPr>
            </w:pPr>
            <w:r>
              <w:rPr>
                <w:b/>
                <w:bCs w:val="0"/>
              </w:rPr>
              <w:t>No</w:t>
            </w:r>
          </w:p>
        </w:tc>
        <w:tc>
          <w:tcPr>
            <w:tcW w:w="990" w:type="dxa"/>
          </w:tcPr>
          <w:p w14:paraId="41C0AC59" w14:textId="7D050791" w:rsidR="00064ECF" w:rsidRDefault="00064ECF" w:rsidP="00E6210E">
            <w:pPr>
              <w:jc w:val="center"/>
            </w:pPr>
            <w:r>
              <w:rPr>
                <w:b/>
                <w:bCs w:val="0"/>
              </w:rPr>
              <w:t>Yes</w:t>
            </w:r>
          </w:p>
        </w:tc>
        <w:tc>
          <w:tcPr>
            <w:tcW w:w="985" w:type="dxa"/>
          </w:tcPr>
          <w:p w14:paraId="0ACC906A" w14:textId="5D80FF17" w:rsidR="00064ECF" w:rsidRDefault="00064ECF" w:rsidP="00307ADA">
            <w:pPr>
              <w:ind w:right="-103" w:hanging="104"/>
              <w:jc w:val="center"/>
            </w:pPr>
            <w:r>
              <w:rPr>
                <w:b/>
                <w:bCs w:val="0"/>
              </w:rPr>
              <w:t xml:space="preserve">No  </w:t>
            </w:r>
          </w:p>
        </w:tc>
      </w:tr>
      <w:tr w:rsidR="00064ECF" w14:paraId="5FE53ECD" w14:textId="77777777" w:rsidTr="005A7C84">
        <w:tc>
          <w:tcPr>
            <w:tcW w:w="364" w:type="dxa"/>
          </w:tcPr>
          <w:p w14:paraId="7C3E7B1D" w14:textId="3A27FC37" w:rsidR="00064ECF" w:rsidRDefault="00064ECF" w:rsidP="00E6210E">
            <w:r>
              <w:t>A</w:t>
            </w:r>
          </w:p>
        </w:tc>
        <w:tc>
          <w:tcPr>
            <w:tcW w:w="981" w:type="dxa"/>
          </w:tcPr>
          <w:p w14:paraId="2DE00FE1" w14:textId="4D22E23B" w:rsidR="00064ECF" w:rsidRPr="00064ECF" w:rsidRDefault="00064ECF" w:rsidP="00064ECF">
            <w:pPr>
              <w:jc w:val="center"/>
              <w:rPr>
                <w:b/>
                <w:bCs w:val="0"/>
              </w:rPr>
            </w:pPr>
            <w:r w:rsidRPr="00064ECF">
              <w:rPr>
                <w:b/>
                <w:bCs w:val="0"/>
              </w:rPr>
              <w:t>X</w:t>
            </w:r>
          </w:p>
        </w:tc>
        <w:tc>
          <w:tcPr>
            <w:tcW w:w="989" w:type="dxa"/>
          </w:tcPr>
          <w:p w14:paraId="4A83D2C9" w14:textId="2BBA872A" w:rsidR="00064ECF" w:rsidRPr="00064ECF" w:rsidRDefault="00064ECF" w:rsidP="00064ECF">
            <w:pPr>
              <w:jc w:val="center"/>
              <w:rPr>
                <w:b/>
                <w:bCs w:val="0"/>
              </w:rPr>
            </w:pPr>
          </w:p>
        </w:tc>
        <w:tc>
          <w:tcPr>
            <w:tcW w:w="2616" w:type="dxa"/>
          </w:tcPr>
          <w:p w14:paraId="2EDD52D2" w14:textId="1F538549" w:rsidR="00064ECF" w:rsidRPr="00064ECF" w:rsidRDefault="00064ECF" w:rsidP="00064ECF">
            <w:pPr>
              <w:jc w:val="center"/>
              <w:rPr>
                <w:b/>
                <w:bCs w:val="0"/>
              </w:rPr>
            </w:pPr>
            <w:r>
              <w:rPr>
                <w:b/>
                <w:bCs w:val="0"/>
              </w:rPr>
              <w:t>X</w:t>
            </w:r>
          </w:p>
        </w:tc>
        <w:tc>
          <w:tcPr>
            <w:tcW w:w="2430" w:type="dxa"/>
          </w:tcPr>
          <w:p w14:paraId="34B3A9E2" w14:textId="263087FA" w:rsidR="00064ECF" w:rsidRPr="00064ECF" w:rsidRDefault="00064ECF" w:rsidP="00064ECF">
            <w:pPr>
              <w:rPr>
                <w:b/>
                <w:bCs w:val="0"/>
              </w:rPr>
            </w:pPr>
          </w:p>
        </w:tc>
        <w:tc>
          <w:tcPr>
            <w:tcW w:w="990" w:type="dxa"/>
          </w:tcPr>
          <w:p w14:paraId="67206898" w14:textId="622CFAFD" w:rsidR="00064ECF" w:rsidRPr="00064ECF" w:rsidRDefault="00064ECF" w:rsidP="00064ECF">
            <w:pPr>
              <w:jc w:val="center"/>
              <w:rPr>
                <w:b/>
                <w:bCs w:val="0"/>
              </w:rPr>
            </w:pPr>
            <w:r>
              <w:rPr>
                <w:b/>
                <w:bCs w:val="0"/>
              </w:rPr>
              <w:t>X</w:t>
            </w:r>
          </w:p>
        </w:tc>
        <w:tc>
          <w:tcPr>
            <w:tcW w:w="985" w:type="dxa"/>
          </w:tcPr>
          <w:p w14:paraId="528F9B3B" w14:textId="76DE965A" w:rsidR="00064ECF" w:rsidRPr="00064ECF" w:rsidRDefault="00064ECF" w:rsidP="00064ECF">
            <w:pPr>
              <w:ind w:right="-103" w:hanging="104"/>
              <w:jc w:val="center"/>
              <w:rPr>
                <w:b/>
                <w:bCs w:val="0"/>
              </w:rPr>
            </w:pPr>
          </w:p>
        </w:tc>
      </w:tr>
      <w:tr w:rsidR="00064ECF" w14:paraId="79DEFB6B" w14:textId="77777777" w:rsidTr="005A7C84">
        <w:tc>
          <w:tcPr>
            <w:tcW w:w="364" w:type="dxa"/>
          </w:tcPr>
          <w:p w14:paraId="27B7AF3A" w14:textId="60248BAE" w:rsidR="00064ECF" w:rsidRDefault="00064ECF" w:rsidP="00E6210E">
            <w:r>
              <w:t>B</w:t>
            </w:r>
          </w:p>
        </w:tc>
        <w:tc>
          <w:tcPr>
            <w:tcW w:w="981" w:type="dxa"/>
          </w:tcPr>
          <w:p w14:paraId="0C336BC8" w14:textId="72A5A1F6" w:rsidR="00064ECF" w:rsidRPr="00064ECF" w:rsidRDefault="00064ECF" w:rsidP="00064ECF">
            <w:pPr>
              <w:jc w:val="center"/>
              <w:rPr>
                <w:b/>
                <w:bCs w:val="0"/>
              </w:rPr>
            </w:pPr>
            <w:r>
              <w:rPr>
                <w:b/>
                <w:bCs w:val="0"/>
              </w:rPr>
              <w:t>X</w:t>
            </w:r>
          </w:p>
        </w:tc>
        <w:tc>
          <w:tcPr>
            <w:tcW w:w="989" w:type="dxa"/>
          </w:tcPr>
          <w:p w14:paraId="5991034A" w14:textId="184B1738" w:rsidR="00064ECF" w:rsidRPr="00064ECF" w:rsidRDefault="00064ECF" w:rsidP="00064ECF">
            <w:pPr>
              <w:jc w:val="center"/>
              <w:rPr>
                <w:b/>
                <w:bCs w:val="0"/>
              </w:rPr>
            </w:pPr>
          </w:p>
        </w:tc>
        <w:tc>
          <w:tcPr>
            <w:tcW w:w="2616" w:type="dxa"/>
          </w:tcPr>
          <w:p w14:paraId="1FC36619" w14:textId="57434357" w:rsidR="00064ECF" w:rsidRPr="00064ECF" w:rsidRDefault="00064ECF" w:rsidP="00064ECF">
            <w:pPr>
              <w:jc w:val="center"/>
              <w:rPr>
                <w:b/>
                <w:bCs w:val="0"/>
              </w:rPr>
            </w:pPr>
            <w:r>
              <w:rPr>
                <w:b/>
                <w:bCs w:val="0"/>
              </w:rPr>
              <w:t>X</w:t>
            </w:r>
          </w:p>
        </w:tc>
        <w:tc>
          <w:tcPr>
            <w:tcW w:w="2430" w:type="dxa"/>
          </w:tcPr>
          <w:p w14:paraId="78A73981" w14:textId="03FD1962" w:rsidR="00064ECF" w:rsidRPr="00064ECF" w:rsidRDefault="00064ECF" w:rsidP="00064ECF">
            <w:pPr>
              <w:jc w:val="center"/>
              <w:rPr>
                <w:b/>
                <w:bCs w:val="0"/>
              </w:rPr>
            </w:pPr>
          </w:p>
        </w:tc>
        <w:tc>
          <w:tcPr>
            <w:tcW w:w="990" w:type="dxa"/>
          </w:tcPr>
          <w:p w14:paraId="7DFA9CBC" w14:textId="77777777" w:rsidR="00064ECF" w:rsidRPr="00064ECF" w:rsidRDefault="00064ECF" w:rsidP="00064ECF">
            <w:pPr>
              <w:jc w:val="center"/>
              <w:rPr>
                <w:b/>
                <w:bCs w:val="0"/>
              </w:rPr>
            </w:pPr>
          </w:p>
        </w:tc>
        <w:tc>
          <w:tcPr>
            <w:tcW w:w="985" w:type="dxa"/>
          </w:tcPr>
          <w:p w14:paraId="209B94E4" w14:textId="4A7B4CE0" w:rsidR="00064ECF" w:rsidRPr="00064ECF" w:rsidRDefault="00064ECF" w:rsidP="00064ECF">
            <w:pPr>
              <w:ind w:right="-103" w:hanging="104"/>
              <w:jc w:val="center"/>
              <w:rPr>
                <w:b/>
                <w:bCs w:val="0"/>
              </w:rPr>
            </w:pPr>
            <w:r>
              <w:rPr>
                <w:b/>
                <w:bCs w:val="0"/>
              </w:rPr>
              <w:t>X</w:t>
            </w:r>
          </w:p>
        </w:tc>
      </w:tr>
      <w:tr w:rsidR="00064ECF" w14:paraId="3471D215" w14:textId="77777777" w:rsidTr="005A7C84">
        <w:tc>
          <w:tcPr>
            <w:tcW w:w="364" w:type="dxa"/>
          </w:tcPr>
          <w:p w14:paraId="721D7C98" w14:textId="7FEC87A6" w:rsidR="00064ECF" w:rsidRDefault="00064ECF" w:rsidP="00E6210E">
            <w:r>
              <w:t>C</w:t>
            </w:r>
          </w:p>
        </w:tc>
        <w:tc>
          <w:tcPr>
            <w:tcW w:w="981" w:type="dxa"/>
          </w:tcPr>
          <w:p w14:paraId="714ABB5B" w14:textId="77411945" w:rsidR="00064ECF" w:rsidRPr="00064ECF" w:rsidRDefault="00064ECF" w:rsidP="00064ECF">
            <w:pPr>
              <w:jc w:val="center"/>
              <w:rPr>
                <w:b/>
                <w:bCs w:val="0"/>
              </w:rPr>
            </w:pPr>
            <w:r>
              <w:rPr>
                <w:b/>
                <w:bCs w:val="0"/>
              </w:rPr>
              <w:t>X</w:t>
            </w:r>
          </w:p>
        </w:tc>
        <w:tc>
          <w:tcPr>
            <w:tcW w:w="989" w:type="dxa"/>
          </w:tcPr>
          <w:p w14:paraId="28065F85" w14:textId="40D640F3" w:rsidR="00064ECF" w:rsidRPr="00064ECF" w:rsidRDefault="00064ECF" w:rsidP="00064ECF">
            <w:pPr>
              <w:jc w:val="center"/>
              <w:rPr>
                <w:b/>
                <w:bCs w:val="0"/>
              </w:rPr>
            </w:pPr>
          </w:p>
        </w:tc>
        <w:tc>
          <w:tcPr>
            <w:tcW w:w="2616" w:type="dxa"/>
          </w:tcPr>
          <w:p w14:paraId="6C9AA6C7" w14:textId="14C84765" w:rsidR="00064ECF" w:rsidRPr="00064ECF" w:rsidRDefault="00064ECF" w:rsidP="00064ECF">
            <w:pPr>
              <w:jc w:val="center"/>
              <w:rPr>
                <w:b/>
                <w:bCs w:val="0"/>
              </w:rPr>
            </w:pPr>
          </w:p>
        </w:tc>
        <w:tc>
          <w:tcPr>
            <w:tcW w:w="2430" w:type="dxa"/>
          </w:tcPr>
          <w:p w14:paraId="7A6036B9" w14:textId="17735B7D" w:rsidR="00064ECF" w:rsidRPr="00064ECF" w:rsidRDefault="00064ECF" w:rsidP="00064ECF">
            <w:pPr>
              <w:jc w:val="center"/>
              <w:rPr>
                <w:b/>
                <w:bCs w:val="0"/>
              </w:rPr>
            </w:pPr>
            <w:r>
              <w:rPr>
                <w:b/>
                <w:bCs w:val="0"/>
              </w:rPr>
              <w:t>X</w:t>
            </w:r>
          </w:p>
        </w:tc>
        <w:tc>
          <w:tcPr>
            <w:tcW w:w="990" w:type="dxa"/>
          </w:tcPr>
          <w:p w14:paraId="22F2B464" w14:textId="77777777" w:rsidR="00064ECF" w:rsidRPr="00064ECF" w:rsidRDefault="00064ECF" w:rsidP="00064ECF">
            <w:pPr>
              <w:jc w:val="center"/>
              <w:rPr>
                <w:b/>
                <w:bCs w:val="0"/>
              </w:rPr>
            </w:pPr>
          </w:p>
        </w:tc>
        <w:tc>
          <w:tcPr>
            <w:tcW w:w="985" w:type="dxa"/>
          </w:tcPr>
          <w:p w14:paraId="4F5F84C7" w14:textId="3F8981C8" w:rsidR="00064ECF" w:rsidRPr="00064ECF" w:rsidRDefault="00064ECF" w:rsidP="00064ECF">
            <w:pPr>
              <w:ind w:right="-103" w:hanging="104"/>
              <w:jc w:val="center"/>
              <w:rPr>
                <w:b/>
                <w:bCs w:val="0"/>
              </w:rPr>
            </w:pPr>
            <w:r>
              <w:rPr>
                <w:b/>
                <w:bCs w:val="0"/>
              </w:rPr>
              <w:t>X</w:t>
            </w:r>
          </w:p>
        </w:tc>
      </w:tr>
      <w:tr w:rsidR="00064ECF" w14:paraId="26037E69" w14:textId="77777777" w:rsidTr="005A7C84">
        <w:tc>
          <w:tcPr>
            <w:tcW w:w="364" w:type="dxa"/>
          </w:tcPr>
          <w:p w14:paraId="31C18F2A" w14:textId="43F7C67A" w:rsidR="00064ECF" w:rsidRDefault="00064ECF" w:rsidP="00E6210E">
            <w:r>
              <w:t>D</w:t>
            </w:r>
          </w:p>
        </w:tc>
        <w:tc>
          <w:tcPr>
            <w:tcW w:w="981" w:type="dxa"/>
          </w:tcPr>
          <w:p w14:paraId="1D789EE1" w14:textId="77777777" w:rsidR="00064ECF" w:rsidRPr="00064ECF" w:rsidRDefault="00064ECF" w:rsidP="00064ECF">
            <w:pPr>
              <w:jc w:val="center"/>
              <w:rPr>
                <w:b/>
                <w:bCs w:val="0"/>
              </w:rPr>
            </w:pPr>
          </w:p>
        </w:tc>
        <w:tc>
          <w:tcPr>
            <w:tcW w:w="989" w:type="dxa"/>
          </w:tcPr>
          <w:p w14:paraId="7A42DD2C" w14:textId="1944B86A" w:rsidR="00064ECF" w:rsidRPr="00064ECF" w:rsidRDefault="00064ECF" w:rsidP="00064ECF">
            <w:pPr>
              <w:jc w:val="center"/>
              <w:rPr>
                <w:b/>
                <w:bCs w:val="0"/>
              </w:rPr>
            </w:pPr>
            <w:r>
              <w:rPr>
                <w:b/>
                <w:bCs w:val="0"/>
              </w:rPr>
              <w:t>X</w:t>
            </w:r>
          </w:p>
        </w:tc>
        <w:tc>
          <w:tcPr>
            <w:tcW w:w="2616" w:type="dxa"/>
          </w:tcPr>
          <w:p w14:paraId="713F556E" w14:textId="3D7C1656" w:rsidR="00064ECF" w:rsidRPr="00064ECF" w:rsidRDefault="00064ECF" w:rsidP="00064ECF">
            <w:pPr>
              <w:jc w:val="center"/>
              <w:rPr>
                <w:b/>
                <w:bCs w:val="0"/>
              </w:rPr>
            </w:pPr>
          </w:p>
        </w:tc>
        <w:tc>
          <w:tcPr>
            <w:tcW w:w="2430" w:type="dxa"/>
          </w:tcPr>
          <w:p w14:paraId="0D9550AA" w14:textId="7C637D6A" w:rsidR="00064ECF" w:rsidRPr="00064ECF" w:rsidRDefault="00064ECF" w:rsidP="00064ECF">
            <w:pPr>
              <w:jc w:val="center"/>
              <w:rPr>
                <w:b/>
                <w:bCs w:val="0"/>
              </w:rPr>
            </w:pPr>
            <w:r>
              <w:rPr>
                <w:b/>
                <w:bCs w:val="0"/>
              </w:rPr>
              <w:t>X</w:t>
            </w:r>
          </w:p>
        </w:tc>
        <w:tc>
          <w:tcPr>
            <w:tcW w:w="990" w:type="dxa"/>
          </w:tcPr>
          <w:p w14:paraId="7197892D" w14:textId="77777777" w:rsidR="00064ECF" w:rsidRPr="00064ECF" w:rsidRDefault="00064ECF" w:rsidP="00064ECF">
            <w:pPr>
              <w:jc w:val="center"/>
              <w:rPr>
                <w:b/>
                <w:bCs w:val="0"/>
              </w:rPr>
            </w:pPr>
          </w:p>
        </w:tc>
        <w:tc>
          <w:tcPr>
            <w:tcW w:w="985" w:type="dxa"/>
          </w:tcPr>
          <w:p w14:paraId="114A5BFA" w14:textId="0FCF5395" w:rsidR="00064ECF" w:rsidRPr="00064ECF" w:rsidRDefault="00064ECF" w:rsidP="00064ECF">
            <w:pPr>
              <w:ind w:right="-103" w:hanging="104"/>
              <w:jc w:val="center"/>
              <w:rPr>
                <w:b/>
                <w:bCs w:val="0"/>
              </w:rPr>
            </w:pPr>
            <w:r>
              <w:rPr>
                <w:b/>
                <w:bCs w:val="0"/>
              </w:rPr>
              <w:t>X</w:t>
            </w:r>
          </w:p>
        </w:tc>
      </w:tr>
    </w:tbl>
    <w:p w14:paraId="52DB02F1" w14:textId="77777777" w:rsidR="00E6210E" w:rsidRDefault="00E6210E" w:rsidP="00E6210E"/>
    <w:p w14:paraId="65417340" w14:textId="7D6B7431" w:rsidR="00EF4B04" w:rsidRDefault="00021E95" w:rsidP="00C27BDB">
      <w:r>
        <w:t>In dialysis facilities, w</w:t>
      </w:r>
      <w:r w:rsidR="00EF4B04">
        <w:t xml:space="preserve">e recommend that the decision aid be </w:t>
      </w:r>
      <w:r w:rsidR="00971F80">
        <w:t>administered</w:t>
      </w:r>
      <w:r w:rsidR="00EF4B04">
        <w:t xml:space="preserve"> </w:t>
      </w:r>
      <w:r>
        <w:t xml:space="preserve">within the first 30 days of dialysis </w:t>
      </w:r>
      <w:r w:rsidR="00EF4B04">
        <w:t xml:space="preserve">and </w:t>
      </w:r>
      <w:r w:rsidR="006264B3">
        <w:t>repeated</w:t>
      </w:r>
      <w:r w:rsidR="00EF4B04">
        <w:t xml:space="preserve"> </w:t>
      </w:r>
      <w:r w:rsidR="00971F80">
        <w:t xml:space="preserve">annually and </w:t>
      </w:r>
      <w:r w:rsidR="00EF4B04">
        <w:t>when any treatment option is failing</w:t>
      </w:r>
      <w:r>
        <w:t>.  We</w:t>
      </w:r>
      <w:r w:rsidR="005A7C84">
        <w:t xml:space="preserve"> </w:t>
      </w:r>
      <w:r w:rsidR="001A1E7B">
        <w:t xml:space="preserve">thank </w:t>
      </w:r>
      <w:r w:rsidR="00EF4B04">
        <w:t>CMS for considering this recommendation to help promote greater patient participation in care.</w:t>
      </w:r>
    </w:p>
    <w:p w14:paraId="212A84E0" w14:textId="77777777" w:rsidR="001A1E7B" w:rsidRDefault="001A1E7B" w:rsidP="00C27BDB"/>
    <w:p w14:paraId="39F35B53" w14:textId="4A814918" w:rsidR="00785614" w:rsidRDefault="006264B3" w:rsidP="00782949">
      <w:pPr>
        <w:ind w:left="-90"/>
      </w:pPr>
      <w:r>
        <w:rPr>
          <w:noProof/>
        </w:rPr>
        <w:drawing>
          <wp:inline distT="0" distB="0" distL="0" distR="0" wp14:anchorId="12606807" wp14:editId="3F125810">
            <wp:extent cx="1424940" cy="371776"/>
            <wp:effectExtent l="0" t="0" r="0" b="0"/>
            <wp:docPr id="471351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0980" cy="402052"/>
                    </a:xfrm>
                    <a:prstGeom prst="rect">
                      <a:avLst/>
                    </a:prstGeom>
                    <a:noFill/>
                    <a:ln>
                      <a:noFill/>
                    </a:ln>
                  </pic:spPr>
                </pic:pic>
              </a:graphicData>
            </a:graphic>
          </wp:inline>
        </w:drawing>
      </w:r>
    </w:p>
    <w:p w14:paraId="09193C40" w14:textId="5885FD58" w:rsidR="006264B3" w:rsidRDefault="006264B3" w:rsidP="00C27BDB">
      <w:r>
        <w:t>Dori Schatell, MS</w:t>
      </w:r>
    </w:p>
    <w:p w14:paraId="00FF405C" w14:textId="2320EE99" w:rsidR="006264B3" w:rsidRDefault="006264B3" w:rsidP="00C27BDB">
      <w:r>
        <w:t>Executive Director</w:t>
      </w:r>
    </w:p>
    <w:p w14:paraId="3B657EDC" w14:textId="3905ABE1" w:rsidR="006264B3" w:rsidRDefault="006264B3" w:rsidP="00C27BDB">
      <w:r>
        <w:t>Medical Education Institute</w:t>
      </w:r>
    </w:p>
    <w:sectPr w:rsidR="006264B3" w:rsidSect="00876D7E">
      <w:headerReference w:type="default" r:id="rId11"/>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14DD" w14:textId="77777777" w:rsidR="00662D3E" w:rsidRDefault="00662D3E" w:rsidP="00876D7E">
      <w:r>
        <w:separator/>
      </w:r>
    </w:p>
  </w:endnote>
  <w:endnote w:type="continuationSeparator" w:id="0">
    <w:p w14:paraId="13405588" w14:textId="77777777" w:rsidR="00662D3E" w:rsidRDefault="00662D3E" w:rsidP="00876D7E">
      <w:r>
        <w:continuationSeparator/>
      </w:r>
    </w:p>
  </w:endnote>
  <w:endnote w:id="1">
    <w:p w14:paraId="1B01764E" w14:textId="3EF208ED" w:rsidR="008F485F" w:rsidRDefault="008F485F" w:rsidP="004110DA">
      <w:pPr>
        <w:pStyle w:val="EndnoteText"/>
        <w:ind w:left="180" w:hanging="180"/>
      </w:pPr>
      <w:r>
        <w:rPr>
          <w:rStyle w:val="EndnoteReference"/>
        </w:rPr>
        <w:endnoteRef/>
      </w:r>
      <w:r>
        <w:t xml:space="preserve"> </w:t>
      </w:r>
      <w:r w:rsidR="004110DA">
        <w:t xml:space="preserve"> </w:t>
      </w:r>
      <w:r w:rsidRPr="009930B6">
        <w:t>Stacey, D., Lewis, K. B., Smith, M., Carley, M., Volk, R., Douglas, E. E., Pacheco-Brousseau, L., Finderup, J., Gunderson, J., Barry, M. J., Bennett, C. L., Bravo, P., Steffensen, K., Gogovor, A., Graham, I. D., Kelly, S. E., Légaré, F., Sondergaard, H., Thomson, R., Trenaman, L., … Trevena, L. (2024). Decision aids for people facing health treatment or screening decisions. </w:t>
      </w:r>
      <w:r w:rsidRPr="009930B6">
        <w:rPr>
          <w:i/>
          <w:iCs/>
        </w:rPr>
        <w:t>The Cochrane database of systematic reviews</w:t>
      </w:r>
      <w:r w:rsidRPr="009930B6">
        <w:t>, </w:t>
      </w:r>
      <w:r w:rsidRPr="009930B6">
        <w:rPr>
          <w:i/>
          <w:iCs/>
        </w:rPr>
        <w:t>1</w:t>
      </w:r>
      <w:r w:rsidRPr="009930B6">
        <w:t xml:space="preserve">(1), CD001431. </w:t>
      </w:r>
      <w:hyperlink r:id="rId1" w:history="1">
        <w:r w:rsidRPr="00BD7F0F">
          <w:rPr>
            <w:rStyle w:val="Hyperlink"/>
          </w:rPr>
          <w:t>https://doi.org/10.1002/14651858.CD001431.pub6</w:t>
        </w:r>
      </w:hyperlink>
      <w:r>
        <w:t xml:space="preserve"> </w:t>
      </w:r>
    </w:p>
  </w:endnote>
  <w:endnote w:id="2">
    <w:p w14:paraId="634D4BC9" w14:textId="664D3873" w:rsidR="00C27BDB" w:rsidRDefault="00C27BDB" w:rsidP="004110DA">
      <w:pPr>
        <w:pStyle w:val="EndnoteText"/>
        <w:ind w:left="180" w:hanging="180"/>
      </w:pPr>
      <w:r>
        <w:rPr>
          <w:rStyle w:val="EndnoteReference"/>
        </w:rPr>
        <w:endnoteRef/>
      </w:r>
      <w:r>
        <w:t xml:space="preserve"> </w:t>
      </w:r>
      <w:r w:rsidR="004110DA">
        <w:t xml:space="preserve"> </w:t>
      </w:r>
      <w:r w:rsidRPr="005B7042">
        <w:t>https://www.cms.gov/medicare/provider-enrollment-and-certification/guidanceforlawsandregulations/downloads/esrdpgmguidance.pdf</w:t>
      </w:r>
    </w:p>
  </w:endnote>
  <w:endnote w:id="3">
    <w:p w14:paraId="276140B4" w14:textId="5EC9258A" w:rsidR="00C27BDB" w:rsidRDefault="00C27BDB" w:rsidP="004110DA">
      <w:pPr>
        <w:pStyle w:val="EndnoteText"/>
        <w:ind w:left="180" w:hanging="180"/>
      </w:pPr>
      <w:r>
        <w:rPr>
          <w:rStyle w:val="EndnoteReference"/>
        </w:rPr>
        <w:endnoteRef/>
      </w:r>
      <w:r>
        <w:t xml:space="preserve"> </w:t>
      </w:r>
      <w:r w:rsidR="004110DA">
        <w:t xml:space="preserve"> </w:t>
      </w:r>
      <w:hyperlink r:id="rId2" w:history="1">
        <w:r w:rsidR="004110DA" w:rsidRPr="007B3A6E">
          <w:rPr>
            <w:rStyle w:val="Hyperlink"/>
          </w:rPr>
          <w:t>https://trumpwhitehouse.archives.gov/presidential-actions/executive-order-advancing-american-kidney-health/</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3A4" w14:textId="77777777" w:rsidR="00662D3E" w:rsidRDefault="00662D3E" w:rsidP="00876D7E">
      <w:r>
        <w:separator/>
      </w:r>
    </w:p>
  </w:footnote>
  <w:footnote w:type="continuationSeparator" w:id="0">
    <w:p w14:paraId="28692D37" w14:textId="77777777" w:rsidR="00662D3E" w:rsidRDefault="00662D3E" w:rsidP="00876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FB07" w14:textId="32ADD433" w:rsidR="00064ECF" w:rsidRDefault="00064ECF" w:rsidP="00217C96">
    <w:pPr>
      <w:pStyle w:val="Header"/>
      <w:ind w:left="-13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977"/>
    <w:multiLevelType w:val="hybridMultilevel"/>
    <w:tmpl w:val="D20A5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82FC8"/>
    <w:multiLevelType w:val="hybridMultilevel"/>
    <w:tmpl w:val="DD42C92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FDB8275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95543"/>
    <w:multiLevelType w:val="hybridMultilevel"/>
    <w:tmpl w:val="7794D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4409A"/>
    <w:multiLevelType w:val="hybridMultilevel"/>
    <w:tmpl w:val="CCA69424"/>
    <w:lvl w:ilvl="0" w:tplc="2086365C">
      <w:numFmt w:val="bullet"/>
      <w:lvlText w:val="–"/>
      <w:lvlJc w:val="left"/>
      <w:pPr>
        <w:ind w:left="413" w:hanging="360"/>
      </w:pPr>
      <w:rPr>
        <w:rFonts w:ascii="Calibri" w:eastAsia="Times New Roman" w:hAnsi="Calibri" w:cs="Calibri"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4" w15:restartNumberingAfterBreak="0">
    <w:nsid w:val="34BD6260"/>
    <w:multiLevelType w:val="hybridMultilevel"/>
    <w:tmpl w:val="82EC3916"/>
    <w:lvl w:ilvl="0" w:tplc="2086365C">
      <w:numFmt w:val="bullet"/>
      <w:lvlText w:val="–"/>
      <w:lvlJc w:val="left"/>
      <w:pPr>
        <w:ind w:left="466" w:hanging="360"/>
      </w:pPr>
      <w:rPr>
        <w:rFonts w:ascii="Calibri" w:eastAsia="Times New Roman" w:hAnsi="Calibri" w:cs="Calibri"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4B01197D"/>
    <w:multiLevelType w:val="hybridMultilevel"/>
    <w:tmpl w:val="97309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A0F07"/>
    <w:multiLevelType w:val="hybridMultilevel"/>
    <w:tmpl w:val="FCB66BC6"/>
    <w:lvl w:ilvl="0" w:tplc="04090005">
      <w:start w:val="1"/>
      <w:numFmt w:val="bullet"/>
      <w:lvlText w:val=""/>
      <w:lvlJc w:val="left"/>
      <w:pPr>
        <w:ind w:left="466" w:hanging="360"/>
      </w:pPr>
      <w:rPr>
        <w:rFonts w:ascii="Wingdings" w:hAnsi="Wingdings"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7" w15:restartNumberingAfterBreak="0">
    <w:nsid w:val="54BB6488"/>
    <w:multiLevelType w:val="hybridMultilevel"/>
    <w:tmpl w:val="5874EC9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B59D3"/>
    <w:multiLevelType w:val="hybridMultilevel"/>
    <w:tmpl w:val="9A74EB8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5A4677AC"/>
    <w:multiLevelType w:val="hybridMultilevel"/>
    <w:tmpl w:val="99AE19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845443"/>
    <w:multiLevelType w:val="hybridMultilevel"/>
    <w:tmpl w:val="F91A114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7FA0120"/>
    <w:multiLevelType w:val="hybridMultilevel"/>
    <w:tmpl w:val="ED2A22B2"/>
    <w:lvl w:ilvl="0" w:tplc="0409000F">
      <w:start w:val="1"/>
      <w:numFmt w:val="decimal"/>
      <w:lvlText w:val="%1."/>
      <w:lvlJc w:val="left"/>
      <w:pPr>
        <w:ind w:left="720" w:hanging="360"/>
      </w:pPr>
      <w:rPr>
        <w:rFonts w:hint="default"/>
      </w:rPr>
    </w:lvl>
    <w:lvl w:ilvl="1" w:tplc="A18C07E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AE59E4"/>
    <w:multiLevelType w:val="hybridMultilevel"/>
    <w:tmpl w:val="0FC8F1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ED1246"/>
    <w:multiLevelType w:val="hybridMultilevel"/>
    <w:tmpl w:val="70A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13BC8"/>
    <w:multiLevelType w:val="hybridMultilevel"/>
    <w:tmpl w:val="C39CBB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1441613">
    <w:abstractNumId w:val="13"/>
  </w:num>
  <w:num w:numId="2" w16cid:durableId="519776507">
    <w:abstractNumId w:val="14"/>
  </w:num>
  <w:num w:numId="3" w16cid:durableId="878009755">
    <w:abstractNumId w:val="8"/>
  </w:num>
  <w:num w:numId="4" w16cid:durableId="986400666">
    <w:abstractNumId w:val="3"/>
  </w:num>
  <w:num w:numId="5" w16cid:durableId="2063558118">
    <w:abstractNumId w:val="12"/>
  </w:num>
  <w:num w:numId="6" w16cid:durableId="321274812">
    <w:abstractNumId w:val="4"/>
  </w:num>
  <w:num w:numId="7" w16cid:durableId="1557542781">
    <w:abstractNumId w:val="10"/>
  </w:num>
  <w:num w:numId="8" w16cid:durableId="338237042">
    <w:abstractNumId w:val="0"/>
  </w:num>
  <w:num w:numId="9" w16cid:durableId="579557219">
    <w:abstractNumId w:val="5"/>
  </w:num>
  <w:num w:numId="10" w16cid:durableId="1598439075">
    <w:abstractNumId w:val="2"/>
  </w:num>
  <w:num w:numId="11" w16cid:durableId="1142962081">
    <w:abstractNumId w:val="11"/>
  </w:num>
  <w:num w:numId="12" w16cid:durableId="728305564">
    <w:abstractNumId w:val="1"/>
  </w:num>
  <w:num w:numId="13" w16cid:durableId="1418793653">
    <w:abstractNumId w:val="9"/>
  </w:num>
  <w:num w:numId="14" w16cid:durableId="1020165152">
    <w:abstractNumId w:val="7"/>
  </w:num>
  <w:num w:numId="15" w16cid:durableId="747768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FD"/>
    <w:rsid w:val="000075CA"/>
    <w:rsid w:val="00021E95"/>
    <w:rsid w:val="00034068"/>
    <w:rsid w:val="00064ECF"/>
    <w:rsid w:val="000F3D68"/>
    <w:rsid w:val="00154F75"/>
    <w:rsid w:val="00164BF1"/>
    <w:rsid w:val="001A1E7B"/>
    <w:rsid w:val="001E70DD"/>
    <w:rsid w:val="00217BFD"/>
    <w:rsid w:val="00217C96"/>
    <w:rsid w:val="00260248"/>
    <w:rsid w:val="00307ADA"/>
    <w:rsid w:val="00321F39"/>
    <w:rsid w:val="003F3185"/>
    <w:rsid w:val="004110DA"/>
    <w:rsid w:val="00411DD4"/>
    <w:rsid w:val="00465D70"/>
    <w:rsid w:val="004B1F28"/>
    <w:rsid w:val="004C1BF3"/>
    <w:rsid w:val="0050568A"/>
    <w:rsid w:val="005A7C84"/>
    <w:rsid w:val="005D3521"/>
    <w:rsid w:val="006264B3"/>
    <w:rsid w:val="00662D3E"/>
    <w:rsid w:val="006D1A7B"/>
    <w:rsid w:val="007470CC"/>
    <w:rsid w:val="007760CF"/>
    <w:rsid w:val="00782949"/>
    <w:rsid w:val="00785614"/>
    <w:rsid w:val="007A521D"/>
    <w:rsid w:val="007F018C"/>
    <w:rsid w:val="00807E0C"/>
    <w:rsid w:val="00815594"/>
    <w:rsid w:val="00844592"/>
    <w:rsid w:val="00876D7E"/>
    <w:rsid w:val="008E2FC8"/>
    <w:rsid w:val="008F485F"/>
    <w:rsid w:val="008F7E11"/>
    <w:rsid w:val="00971F80"/>
    <w:rsid w:val="009930B6"/>
    <w:rsid w:val="009E5257"/>
    <w:rsid w:val="009F14A6"/>
    <w:rsid w:val="00A84FB5"/>
    <w:rsid w:val="00A86A09"/>
    <w:rsid w:val="00AA6D8C"/>
    <w:rsid w:val="00AD5C44"/>
    <w:rsid w:val="00AF5089"/>
    <w:rsid w:val="00B13641"/>
    <w:rsid w:val="00B4793E"/>
    <w:rsid w:val="00B77E5B"/>
    <w:rsid w:val="00B8488D"/>
    <w:rsid w:val="00BE3DE1"/>
    <w:rsid w:val="00C1299D"/>
    <w:rsid w:val="00C27BDB"/>
    <w:rsid w:val="00C67E56"/>
    <w:rsid w:val="00C94028"/>
    <w:rsid w:val="00CA0944"/>
    <w:rsid w:val="00E6210E"/>
    <w:rsid w:val="00E62C5B"/>
    <w:rsid w:val="00EC429A"/>
    <w:rsid w:val="00EF4B04"/>
    <w:rsid w:val="00F809B9"/>
    <w:rsid w:val="00FD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EE1F"/>
  <w15:chartTrackingRefBased/>
  <w15:docId w15:val="{64FB06C3-CB19-4993-B6A9-12AB9D2C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C5B"/>
    <w:pPr>
      <w:spacing w:after="0" w:line="240" w:lineRule="auto"/>
    </w:pPr>
  </w:style>
  <w:style w:type="paragraph" w:styleId="Heading1">
    <w:name w:val="heading 1"/>
    <w:basedOn w:val="Normal"/>
    <w:next w:val="Normal"/>
    <w:link w:val="Heading1Char"/>
    <w:uiPriority w:val="9"/>
    <w:qFormat/>
    <w:rsid w:val="00217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B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B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7B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7B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7B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B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B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FC8"/>
    <w:rPr>
      <w:color w:val="467886" w:themeColor="hyperlink"/>
      <w:u w:val="single"/>
    </w:rPr>
  </w:style>
  <w:style w:type="paragraph" w:styleId="ListParagraph">
    <w:name w:val="List Paragraph"/>
    <w:basedOn w:val="Normal"/>
    <w:uiPriority w:val="34"/>
    <w:qFormat/>
    <w:rsid w:val="008E2FC8"/>
    <w:pPr>
      <w:ind w:left="720"/>
      <w:contextualSpacing/>
    </w:pPr>
  </w:style>
  <w:style w:type="character" w:styleId="UnresolvedMention">
    <w:name w:val="Unresolved Mention"/>
    <w:basedOn w:val="DefaultParagraphFont"/>
    <w:uiPriority w:val="99"/>
    <w:semiHidden/>
    <w:unhideWhenUsed/>
    <w:rsid w:val="008E2FC8"/>
    <w:rPr>
      <w:color w:val="605E5C"/>
      <w:shd w:val="clear" w:color="auto" w:fill="E1DFDD"/>
    </w:rPr>
  </w:style>
  <w:style w:type="character" w:customStyle="1" w:styleId="Heading1Char">
    <w:name w:val="Heading 1 Char"/>
    <w:basedOn w:val="DefaultParagraphFont"/>
    <w:link w:val="Heading1"/>
    <w:uiPriority w:val="9"/>
    <w:rsid w:val="00217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B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B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7B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7B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7B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7B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7B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7B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B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B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7B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BFD"/>
    <w:rPr>
      <w:i/>
      <w:iCs/>
      <w:color w:val="404040" w:themeColor="text1" w:themeTint="BF"/>
    </w:rPr>
  </w:style>
  <w:style w:type="character" w:styleId="IntenseEmphasis">
    <w:name w:val="Intense Emphasis"/>
    <w:basedOn w:val="DefaultParagraphFont"/>
    <w:uiPriority w:val="21"/>
    <w:qFormat/>
    <w:rsid w:val="00217BFD"/>
    <w:rPr>
      <w:i/>
      <w:iCs/>
      <w:color w:val="0F4761" w:themeColor="accent1" w:themeShade="BF"/>
    </w:rPr>
  </w:style>
  <w:style w:type="paragraph" w:styleId="IntenseQuote">
    <w:name w:val="Intense Quote"/>
    <w:basedOn w:val="Normal"/>
    <w:next w:val="Normal"/>
    <w:link w:val="IntenseQuoteChar"/>
    <w:uiPriority w:val="30"/>
    <w:qFormat/>
    <w:rsid w:val="00217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BFD"/>
    <w:rPr>
      <w:i/>
      <w:iCs/>
      <w:color w:val="0F4761" w:themeColor="accent1" w:themeShade="BF"/>
    </w:rPr>
  </w:style>
  <w:style w:type="character" w:styleId="IntenseReference">
    <w:name w:val="Intense Reference"/>
    <w:basedOn w:val="DefaultParagraphFont"/>
    <w:uiPriority w:val="32"/>
    <w:qFormat/>
    <w:rsid w:val="00217BFD"/>
    <w:rPr>
      <w:b/>
      <w:bCs w:val="0"/>
      <w:smallCaps/>
      <w:color w:val="0F4761" w:themeColor="accent1" w:themeShade="BF"/>
      <w:spacing w:val="5"/>
    </w:rPr>
  </w:style>
  <w:style w:type="paragraph" w:styleId="EndnoteText">
    <w:name w:val="endnote text"/>
    <w:basedOn w:val="Normal"/>
    <w:link w:val="EndnoteTextChar"/>
    <w:uiPriority w:val="99"/>
    <w:semiHidden/>
    <w:unhideWhenUsed/>
    <w:rsid w:val="00876D7E"/>
    <w:rPr>
      <w:sz w:val="20"/>
      <w:szCs w:val="20"/>
    </w:rPr>
  </w:style>
  <w:style w:type="character" w:customStyle="1" w:styleId="EndnoteTextChar">
    <w:name w:val="Endnote Text Char"/>
    <w:basedOn w:val="DefaultParagraphFont"/>
    <w:link w:val="EndnoteText"/>
    <w:uiPriority w:val="99"/>
    <w:semiHidden/>
    <w:rsid w:val="00876D7E"/>
    <w:rPr>
      <w:sz w:val="20"/>
      <w:szCs w:val="20"/>
    </w:rPr>
  </w:style>
  <w:style w:type="character" w:styleId="EndnoteReference">
    <w:name w:val="endnote reference"/>
    <w:basedOn w:val="DefaultParagraphFont"/>
    <w:uiPriority w:val="99"/>
    <w:semiHidden/>
    <w:unhideWhenUsed/>
    <w:rsid w:val="00876D7E"/>
    <w:rPr>
      <w:vertAlign w:val="superscript"/>
    </w:rPr>
  </w:style>
  <w:style w:type="table" w:styleId="TableGrid">
    <w:name w:val="Table Grid"/>
    <w:basedOn w:val="TableNormal"/>
    <w:uiPriority w:val="39"/>
    <w:rsid w:val="00E62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ECF"/>
    <w:pPr>
      <w:tabs>
        <w:tab w:val="center" w:pos="4680"/>
        <w:tab w:val="right" w:pos="9360"/>
      </w:tabs>
    </w:pPr>
  </w:style>
  <w:style w:type="character" w:customStyle="1" w:styleId="HeaderChar">
    <w:name w:val="Header Char"/>
    <w:basedOn w:val="DefaultParagraphFont"/>
    <w:link w:val="Header"/>
    <w:uiPriority w:val="99"/>
    <w:rsid w:val="00064ECF"/>
  </w:style>
  <w:style w:type="paragraph" w:styleId="Footer">
    <w:name w:val="footer"/>
    <w:basedOn w:val="Normal"/>
    <w:link w:val="FooterChar"/>
    <w:uiPriority w:val="99"/>
    <w:unhideWhenUsed/>
    <w:rsid w:val="00064ECF"/>
    <w:pPr>
      <w:tabs>
        <w:tab w:val="center" w:pos="4680"/>
        <w:tab w:val="right" w:pos="9360"/>
      </w:tabs>
    </w:pPr>
  </w:style>
  <w:style w:type="character" w:customStyle="1" w:styleId="FooterChar">
    <w:name w:val="Footer Char"/>
    <w:basedOn w:val="DefaultParagraphFont"/>
    <w:link w:val="Footer"/>
    <w:uiPriority w:val="99"/>
    <w:rsid w:val="00064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mykidneylifeplan.org"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trumpwhitehouse.archives.gov/presidential-actions/executive-order-advancing-american-kidney-health/" TargetMode="External"/><Relationship Id="rId1" Type="http://schemas.openxmlformats.org/officeDocument/2006/relationships/hyperlink" Target="https://doi.org/10.1002/14651858.CD001431.pu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4C01F-1676-4882-A3A4-42EC804C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Witten</dc:creator>
  <cp:keywords/>
  <dc:description/>
  <cp:lastModifiedBy>Dori Schatell</cp:lastModifiedBy>
  <cp:revision>8</cp:revision>
  <dcterms:created xsi:type="dcterms:W3CDTF">2025-08-06T17:33:00Z</dcterms:created>
  <dcterms:modified xsi:type="dcterms:W3CDTF">2025-08-11T16:40:00Z</dcterms:modified>
</cp:coreProperties>
</file>